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9D4C2" w14:textId="51079A66" w:rsidR="00FE43D9" w:rsidRDefault="00FE43D9" w:rsidP="00702420">
      <w:pPr>
        <w:jc w:val="right"/>
        <w:rPr>
          <w:b/>
          <w:bCs/>
        </w:rPr>
      </w:pPr>
      <w:r>
        <w:rPr>
          <w:noProof/>
        </w:rPr>
        <w:drawing>
          <wp:inline distT="0" distB="0" distL="0" distR="0" wp14:anchorId="2BBB1100" wp14:editId="0122D7F8">
            <wp:extent cx="1169044" cy="975615"/>
            <wp:effectExtent l="0" t="0" r="0" b="0"/>
            <wp:docPr id="2" name="Picture 1" descr="A purple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purple and black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127" cy="1048289"/>
                    </a:xfrm>
                    <a:prstGeom prst="rect">
                      <a:avLst/>
                    </a:prstGeom>
                    <a:noFill/>
                    <a:ln>
                      <a:noFill/>
                    </a:ln>
                  </pic:spPr>
                </pic:pic>
              </a:graphicData>
            </a:graphic>
          </wp:inline>
        </w:drawing>
      </w:r>
      <w:r>
        <w:rPr>
          <w:b/>
          <w:bCs/>
          <w:noProof/>
        </w:rPr>
        <w:drawing>
          <wp:anchor distT="0" distB="0" distL="114300" distR="114300" simplePos="0" relativeHeight="251658240" behindDoc="0" locked="0" layoutInCell="1" allowOverlap="1" wp14:anchorId="1D83FEB1" wp14:editId="63679E83">
            <wp:simplePos x="914400" y="914400"/>
            <wp:positionH relativeFrom="column">
              <wp:align>left</wp:align>
            </wp:positionH>
            <wp:positionV relativeFrom="paragraph">
              <wp:align>top</wp:align>
            </wp:positionV>
            <wp:extent cx="1530350" cy="1188720"/>
            <wp:effectExtent l="0" t="0" r="0" b="0"/>
            <wp:wrapSquare wrapText="bothSides"/>
            <wp:docPr id="1948200478"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200478" name="Picture 1" descr="A blue flag with yellow stars&#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0" cy="1188720"/>
                    </a:xfrm>
                    <a:prstGeom prst="rect">
                      <a:avLst/>
                    </a:prstGeom>
                    <a:noFill/>
                  </pic:spPr>
                </pic:pic>
              </a:graphicData>
            </a:graphic>
          </wp:anchor>
        </w:drawing>
      </w:r>
    </w:p>
    <w:p w14:paraId="55B2C03A" w14:textId="6C3C595F" w:rsidR="00FE43D9" w:rsidRDefault="00FE43D9" w:rsidP="00FE43D9">
      <w:pPr>
        <w:tabs>
          <w:tab w:val="left" w:pos="4010"/>
        </w:tabs>
        <w:jc w:val="both"/>
        <w:rPr>
          <w:b/>
          <w:bCs/>
        </w:rPr>
      </w:pPr>
    </w:p>
    <w:p w14:paraId="01BD7136" w14:textId="77777777" w:rsidR="00FE43D9" w:rsidRPr="007A1B6A" w:rsidRDefault="00FE43D9" w:rsidP="00702420">
      <w:pPr>
        <w:jc w:val="center"/>
        <w:rPr>
          <w:b/>
          <w:bCs/>
          <w:sz w:val="28"/>
          <w:szCs w:val="28"/>
          <w:lang w:val="en-GB"/>
        </w:rPr>
      </w:pPr>
      <w:r w:rsidRPr="007A1B6A">
        <w:rPr>
          <w:b/>
          <w:bCs/>
          <w:sz w:val="28"/>
          <w:szCs w:val="28"/>
          <w:lang w:val="en-GB"/>
        </w:rPr>
        <w:t>Increasing Accountability and Improving Human Rights Protection in Türkiye’s Penitentiary System</w:t>
      </w:r>
    </w:p>
    <w:p w14:paraId="5BACCE80" w14:textId="77777777" w:rsidR="00FE43D9" w:rsidRPr="007A1B6A" w:rsidRDefault="00FE43D9" w:rsidP="00702420">
      <w:pPr>
        <w:jc w:val="center"/>
      </w:pPr>
    </w:p>
    <w:p w14:paraId="0F7AF2F3" w14:textId="696E643D" w:rsidR="00FE43D9" w:rsidRPr="007A1B6A" w:rsidRDefault="00FE43D9" w:rsidP="00702420">
      <w:pPr>
        <w:jc w:val="center"/>
      </w:pPr>
      <w:r w:rsidRPr="007A1B6A">
        <w:rPr>
          <w:b/>
        </w:rPr>
        <w:t>OPEN CALL</w:t>
      </w:r>
    </w:p>
    <w:p w14:paraId="7AC714B6" w14:textId="4B08579E" w:rsidR="00FE43D9" w:rsidRPr="007A1B6A" w:rsidRDefault="00FE43D9" w:rsidP="00702420">
      <w:pPr>
        <w:jc w:val="center"/>
      </w:pPr>
    </w:p>
    <w:p w14:paraId="42729269" w14:textId="1A1631FA" w:rsidR="00FE43D9" w:rsidRPr="007A1B6A" w:rsidRDefault="00FE43D9" w:rsidP="00702420">
      <w:pPr>
        <w:jc w:val="center"/>
      </w:pPr>
      <w:r w:rsidRPr="007A1B6A">
        <w:rPr>
          <w:b/>
        </w:rPr>
        <w:t>FOR SMALL GRANTS SCHEME</w:t>
      </w:r>
    </w:p>
    <w:p w14:paraId="6B5755E7" w14:textId="77777777" w:rsidR="00FE43D9" w:rsidRDefault="00FE43D9" w:rsidP="00FE43D9">
      <w:pPr>
        <w:jc w:val="both"/>
        <w:rPr>
          <w:b/>
          <w:bCs/>
        </w:rPr>
      </w:pPr>
    </w:p>
    <w:p w14:paraId="07964A27" w14:textId="623D78FC" w:rsidR="00FE43D9" w:rsidRPr="00FE43D9" w:rsidRDefault="00FE43D9" w:rsidP="00FE43D9">
      <w:pPr>
        <w:pBdr>
          <w:top w:val="single" w:sz="4" w:space="1" w:color="auto"/>
          <w:left w:val="single" w:sz="4" w:space="4" w:color="auto"/>
          <w:bottom w:val="single" w:sz="4" w:space="1" w:color="auto"/>
          <w:right w:val="single" w:sz="4" w:space="4" w:color="auto"/>
        </w:pBdr>
        <w:jc w:val="both"/>
      </w:pPr>
      <w:r w:rsidRPr="00FE43D9">
        <w:rPr>
          <w:b/>
          <w:bCs/>
        </w:rPr>
        <w:t>Timeline:</w:t>
      </w:r>
    </w:p>
    <w:p w14:paraId="2BA76FF8" w14:textId="77777777" w:rsidR="00FE43D9" w:rsidRPr="00FE43D9" w:rsidRDefault="00FE43D9" w:rsidP="00FE43D9">
      <w:pPr>
        <w:numPr>
          <w:ilvl w:val="0"/>
          <w:numId w:val="1"/>
        </w:numPr>
        <w:pBdr>
          <w:top w:val="single" w:sz="4" w:space="1" w:color="auto"/>
          <w:left w:val="single" w:sz="4" w:space="4" w:color="auto"/>
          <w:bottom w:val="single" w:sz="4" w:space="1" w:color="auto"/>
          <w:right w:val="single" w:sz="4" w:space="4" w:color="auto"/>
        </w:pBdr>
        <w:jc w:val="both"/>
      </w:pPr>
      <w:r w:rsidRPr="00FE43D9">
        <w:rPr>
          <w:b/>
          <w:bCs/>
        </w:rPr>
        <w:t>Announcement Date:</w:t>
      </w:r>
      <w:r w:rsidRPr="00FE43D9">
        <w:t xml:space="preserve"> 15 January 2025</w:t>
      </w:r>
    </w:p>
    <w:p w14:paraId="517F409A" w14:textId="3055CC06" w:rsidR="00FE43D9" w:rsidRPr="00FE43D9" w:rsidRDefault="00FE43D9" w:rsidP="00FE43D9">
      <w:pPr>
        <w:numPr>
          <w:ilvl w:val="0"/>
          <w:numId w:val="1"/>
        </w:numPr>
        <w:pBdr>
          <w:top w:val="single" w:sz="4" w:space="1" w:color="auto"/>
          <w:left w:val="single" w:sz="4" w:space="4" w:color="auto"/>
          <w:bottom w:val="single" w:sz="4" w:space="1" w:color="auto"/>
          <w:right w:val="single" w:sz="4" w:space="4" w:color="auto"/>
        </w:pBdr>
        <w:jc w:val="both"/>
      </w:pPr>
      <w:r w:rsidRPr="00FE43D9">
        <w:rPr>
          <w:b/>
          <w:bCs/>
        </w:rPr>
        <w:t xml:space="preserve">Deadline for </w:t>
      </w:r>
      <w:r>
        <w:rPr>
          <w:b/>
          <w:bCs/>
        </w:rPr>
        <w:t xml:space="preserve">submitting </w:t>
      </w:r>
      <w:r w:rsidRPr="00FE43D9">
        <w:rPr>
          <w:b/>
          <w:bCs/>
        </w:rPr>
        <w:t>Concept Note (Stage I):</w:t>
      </w:r>
      <w:r w:rsidRPr="00FE43D9">
        <w:t xml:space="preserve"> 15 February 2025</w:t>
      </w:r>
    </w:p>
    <w:p w14:paraId="19DE470A" w14:textId="77777777" w:rsidR="00FE43D9" w:rsidRPr="00FE43D9" w:rsidRDefault="00FE43D9" w:rsidP="00FE43D9">
      <w:pPr>
        <w:numPr>
          <w:ilvl w:val="0"/>
          <w:numId w:val="1"/>
        </w:numPr>
        <w:pBdr>
          <w:top w:val="single" w:sz="4" w:space="1" w:color="auto"/>
          <w:left w:val="single" w:sz="4" w:space="4" w:color="auto"/>
          <w:bottom w:val="single" w:sz="4" w:space="1" w:color="auto"/>
          <w:right w:val="single" w:sz="4" w:space="4" w:color="auto"/>
        </w:pBdr>
        <w:jc w:val="both"/>
      </w:pPr>
      <w:r w:rsidRPr="00FE43D9">
        <w:rPr>
          <w:b/>
          <w:bCs/>
        </w:rPr>
        <w:t>Stage I Results Announcement:</w:t>
      </w:r>
      <w:r w:rsidRPr="00FE43D9">
        <w:t xml:space="preserve"> 28 February 2025</w:t>
      </w:r>
    </w:p>
    <w:p w14:paraId="7F57FE1B" w14:textId="3F3A4EDC" w:rsidR="00FE43D9" w:rsidRPr="00FE43D9" w:rsidRDefault="00FE43D9" w:rsidP="00FE43D9">
      <w:pPr>
        <w:numPr>
          <w:ilvl w:val="0"/>
          <w:numId w:val="1"/>
        </w:numPr>
        <w:pBdr>
          <w:top w:val="single" w:sz="4" w:space="1" w:color="auto"/>
          <w:left w:val="single" w:sz="4" w:space="4" w:color="auto"/>
          <w:bottom w:val="single" w:sz="4" w:space="1" w:color="auto"/>
          <w:right w:val="single" w:sz="4" w:space="4" w:color="auto"/>
        </w:pBdr>
        <w:jc w:val="both"/>
      </w:pPr>
      <w:r w:rsidRPr="00FE43D9">
        <w:rPr>
          <w:b/>
          <w:bCs/>
        </w:rPr>
        <w:t>Deadline for Full Proposals</w:t>
      </w:r>
      <w:r>
        <w:rPr>
          <w:b/>
          <w:bCs/>
        </w:rPr>
        <w:t xml:space="preserve"> (Stage II)</w:t>
      </w:r>
      <w:r w:rsidRPr="00FE43D9">
        <w:rPr>
          <w:b/>
          <w:bCs/>
        </w:rPr>
        <w:t>:</w:t>
      </w:r>
      <w:r w:rsidRPr="00FE43D9">
        <w:t xml:space="preserve"> 31 March 2025</w:t>
      </w:r>
    </w:p>
    <w:p w14:paraId="6DBC49D7" w14:textId="77777777" w:rsidR="00FE43D9" w:rsidRPr="00FE43D9" w:rsidRDefault="00FE43D9" w:rsidP="00FE43D9">
      <w:pPr>
        <w:numPr>
          <w:ilvl w:val="0"/>
          <w:numId w:val="1"/>
        </w:numPr>
        <w:pBdr>
          <w:top w:val="single" w:sz="4" w:space="1" w:color="auto"/>
          <w:left w:val="single" w:sz="4" w:space="4" w:color="auto"/>
          <w:bottom w:val="single" w:sz="4" w:space="1" w:color="auto"/>
          <w:right w:val="single" w:sz="4" w:space="4" w:color="auto"/>
        </w:pBdr>
        <w:jc w:val="both"/>
      </w:pPr>
      <w:proofErr w:type="gramStart"/>
      <w:r w:rsidRPr="00FE43D9">
        <w:rPr>
          <w:b/>
          <w:bCs/>
        </w:rPr>
        <w:t>Final Results</w:t>
      </w:r>
      <w:proofErr w:type="gramEnd"/>
      <w:r w:rsidRPr="00FE43D9">
        <w:rPr>
          <w:b/>
          <w:bCs/>
        </w:rPr>
        <w:t xml:space="preserve"> Announcement:</w:t>
      </w:r>
      <w:r w:rsidRPr="00FE43D9">
        <w:t xml:space="preserve"> 15 April 2025</w:t>
      </w:r>
    </w:p>
    <w:p w14:paraId="6B69BD01" w14:textId="77777777" w:rsidR="00FE43D9" w:rsidRPr="00FE43D9" w:rsidRDefault="00FE43D9" w:rsidP="00FE43D9">
      <w:pPr>
        <w:numPr>
          <w:ilvl w:val="0"/>
          <w:numId w:val="1"/>
        </w:numPr>
        <w:pBdr>
          <w:top w:val="single" w:sz="4" w:space="1" w:color="auto"/>
          <w:left w:val="single" w:sz="4" w:space="4" w:color="auto"/>
          <w:bottom w:val="single" w:sz="4" w:space="1" w:color="auto"/>
          <w:right w:val="single" w:sz="4" w:space="4" w:color="auto"/>
        </w:pBdr>
        <w:jc w:val="both"/>
      </w:pPr>
      <w:r w:rsidRPr="00FE43D9">
        <w:rPr>
          <w:b/>
          <w:bCs/>
        </w:rPr>
        <w:t>Proposed Project Start Date:</w:t>
      </w:r>
      <w:r w:rsidRPr="00FE43D9">
        <w:t xml:space="preserve"> 1 May 2025</w:t>
      </w:r>
    </w:p>
    <w:p w14:paraId="5284D1F6" w14:textId="77777777" w:rsidR="00FE43D9" w:rsidRPr="00FE43D9" w:rsidRDefault="00000000" w:rsidP="00FE43D9">
      <w:pPr>
        <w:jc w:val="both"/>
      </w:pPr>
      <w:r>
        <w:pict w14:anchorId="51204B20">
          <v:rect id="_x0000_i1025" style="width:0;height:1.5pt" o:hralign="center" o:hrstd="t" o:hr="t" fillcolor="#a0a0a0" stroked="f"/>
        </w:pict>
      </w:r>
    </w:p>
    <w:p w14:paraId="4C77BB49" w14:textId="77777777" w:rsidR="00FE43D9" w:rsidRPr="00FE43D9" w:rsidRDefault="00FE43D9" w:rsidP="00FE43D9">
      <w:pPr>
        <w:jc w:val="both"/>
        <w:rPr>
          <w:b/>
          <w:bCs/>
        </w:rPr>
      </w:pPr>
      <w:r w:rsidRPr="00FE43D9">
        <w:rPr>
          <w:b/>
          <w:bCs/>
        </w:rPr>
        <w:t>Background</w:t>
      </w:r>
    </w:p>
    <w:p w14:paraId="2858AF18" w14:textId="5EE81E9B" w:rsidR="00FE43D9" w:rsidRPr="00FE43D9" w:rsidRDefault="00FE43D9" w:rsidP="00FE43D9">
      <w:pPr>
        <w:jc w:val="both"/>
      </w:pPr>
      <w:r w:rsidRPr="00FE43D9">
        <w:t>This project, funded by the European Union, aims to promote and protect human rights, democracy, and the rule of law in Türkiye by strengthening the capacity of civil society organizations (CSOs) to address accountability gaps and combat impunity. Led by Penal Reform International and CISST, the initiative focuses on improving conditions and treatment within the penitentiary system by enabling effective external monitoring and providing support to victims of human rights violations, including torture and ill-treatment.</w:t>
      </w:r>
    </w:p>
    <w:p w14:paraId="6D4201CF" w14:textId="77777777" w:rsidR="00FE43D9" w:rsidRPr="00FE43D9" w:rsidRDefault="00FE43D9" w:rsidP="00FE43D9">
      <w:pPr>
        <w:jc w:val="both"/>
      </w:pPr>
      <w:r w:rsidRPr="00FE43D9">
        <w:t>The sub-granting program is designed to facilitate prison reform through civil society engagement, empowering local CSOs to undertake innovative initiatives supporting people in prison, particularly in reintegration efforts and legal aid education.</w:t>
      </w:r>
    </w:p>
    <w:p w14:paraId="184C5717" w14:textId="77777777" w:rsidR="00FE43D9" w:rsidRPr="00FE43D9" w:rsidRDefault="00000000" w:rsidP="00FE43D9">
      <w:pPr>
        <w:jc w:val="both"/>
      </w:pPr>
      <w:r>
        <w:pict w14:anchorId="5EEEEE47">
          <v:rect id="_x0000_i1026" style="width:0;height:1.5pt" o:hralign="center" o:hrstd="t" o:hr="t" fillcolor="#a0a0a0" stroked="f"/>
        </w:pict>
      </w:r>
    </w:p>
    <w:p w14:paraId="43B5CE9E" w14:textId="77777777" w:rsidR="00FE43D9" w:rsidRPr="00FE43D9" w:rsidRDefault="00FE43D9" w:rsidP="00A31FF4">
      <w:pPr>
        <w:pBdr>
          <w:top w:val="single" w:sz="4" w:space="1" w:color="auto"/>
          <w:left w:val="single" w:sz="4" w:space="4" w:color="auto"/>
          <w:bottom w:val="single" w:sz="4" w:space="1" w:color="auto"/>
          <w:right w:val="single" w:sz="4" w:space="4" w:color="auto"/>
        </w:pBdr>
        <w:jc w:val="both"/>
        <w:rPr>
          <w:b/>
          <w:bCs/>
        </w:rPr>
      </w:pPr>
      <w:r w:rsidRPr="00FE43D9">
        <w:rPr>
          <w:b/>
          <w:bCs/>
        </w:rPr>
        <w:lastRenderedPageBreak/>
        <w:t>Objectives</w:t>
      </w:r>
    </w:p>
    <w:p w14:paraId="2C9AB57D" w14:textId="77777777" w:rsidR="007771FC" w:rsidRDefault="00FE43D9" w:rsidP="007771FC">
      <w:pPr>
        <w:jc w:val="both"/>
        <w:rPr>
          <w:b/>
          <w:bCs/>
        </w:rPr>
      </w:pPr>
      <w:r w:rsidRPr="00FE43D9">
        <w:rPr>
          <w:b/>
          <w:bCs/>
        </w:rPr>
        <w:t>Overall Objective</w:t>
      </w:r>
      <w:r w:rsidR="007771FC" w:rsidRPr="007771FC">
        <w:rPr>
          <w:b/>
          <w:bCs/>
        </w:rPr>
        <w:t xml:space="preserve"> </w:t>
      </w:r>
      <w:r w:rsidR="007771FC" w:rsidRPr="007A1B6A">
        <w:rPr>
          <w:b/>
          <w:bCs/>
        </w:rPr>
        <w:t>of the sub-granting</w:t>
      </w:r>
      <w:r w:rsidRPr="00FE43D9">
        <w:rPr>
          <w:b/>
          <w:bCs/>
        </w:rPr>
        <w:t>:</w:t>
      </w:r>
    </w:p>
    <w:p w14:paraId="000E376B" w14:textId="6C3718E5" w:rsidR="007771FC" w:rsidRPr="007771FC" w:rsidRDefault="007771FC" w:rsidP="007771FC">
      <w:pPr>
        <w:jc w:val="both"/>
        <w:rPr>
          <w:b/>
          <w:bCs/>
        </w:rPr>
      </w:pPr>
      <w:r>
        <w:t>T</w:t>
      </w:r>
      <w:r w:rsidRPr="007A1B6A">
        <w:t>o support prison reform through the engagement of civil society.</w:t>
      </w:r>
    </w:p>
    <w:p w14:paraId="71C90D11" w14:textId="4659A4C0" w:rsidR="00FE43D9" w:rsidRPr="00FE43D9" w:rsidRDefault="00FE43D9" w:rsidP="00FE43D9">
      <w:pPr>
        <w:jc w:val="both"/>
        <w:rPr>
          <w:b/>
          <w:bCs/>
        </w:rPr>
      </w:pPr>
      <w:r w:rsidRPr="00FE43D9">
        <w:rPr>
          <w:b/>
          <w:bCs/>
        </w:rPr>
        <w:t>Specific Objectives:</w:t>
      </w:r>
    </w:p>
    <w:p w14:paraId="49073B7D" w14:textId="77777777" w:rsidR="00FE43D9" w:rsidRPr="00FE43D9" w:rsidRDefault="00FE43D9" w:rsidP="00FE43D9">
      <w:pPr>
        <w:numPr>
          <w:ilvl w:val="0"/>
          <w:numId w:val="2"/>
        </w:numPr>
        <w:jc w:val="both"/>
      </w:pPr>
      <w:r w:rsidRPr="00FE43D9">
        <w:t>Encourage local CSOs to enhance the rights and reintegration of individuals in prison.</w:t>
      </w:r>
    </w:p>
    <w:p w14:paraId="3581FD0F" w14:textId="77777777" w:rsidR="00FE43D9" w:rsidRPr="00FE43D9" w:rsidRDefault="00FE43D9" w:rsidP="00FE43D9">
      <w:pPr>
        <w:numPr>
          <w:ilvl w:val="0"/>
          <w:numId w:val="2"/>
        </w:numPr>
        <w:jc w:val="both"/>
      </w:pPr>
      <w:r w:rsidRPr="00FE43D9">
        <w:t>Focus on advocacy, legal aid education, and public awareness campaigns.</w:t>
      </w:r>
    </w:p>
    <w:p w14:paraId="56D5E956" w14:textId="77777777" w:rsidR="00FE43D9" w:rsidRPr="00FE43D9" w:rsidRDefault="00FE43D9" w:rsidP="00FE43D9">
      <w:pPr>
        <w:numPr>
          <w:ilvl w:val="0"/>
          <w:numId w:val="2"/>
        </w:numPr>
        <w:jc w:val="both"/>
      </w:pPr>
      <w:r w:rsidRPr="00FE43D9">
        <w:t>Reach approximately 350 individuals in prison through these initiatives.</w:t>
      </w:r>
    </w:p>
    <w:p w14:paraId="67656D9E" w14:textId="036E5624" w:rsidR="00FE43D9" w:rsidRPr="00FE43D9" w:rsidRDefault="00FE43D9" w:rsidP="00FE43D9">
      <w:pPr>
        <w:jc w:val="both"/>
      </w:pPr>
    </w:p>
    <w:p w14:paraId="2FE80573" w14:textId="77777777" w:rsidR="00B43EF8" w:rsidRPr="00B43EF8" w:rsidRDefault="00B43EF8" w:rsidP="00A31FF4">
      <w:pPr>
        <w:pBdr>
          <w:top w:val="single" w:sz="4" w:space="1" w:color="auto"/>
          <w:left w:val="single" w:sz="4" w:space="4" w:color="auto"/>
          <w:bottom w:val="single" w:sz="4" w:space="1" w:color="auto"/>
          <w:right w:val="single" w:sz="4" w:space="4" w:color="auto"/>
        </w:pBdr>
        <w:jc w:val="both"/>
        <w:rPr>
          <w:b/>
          <w:bCs/>
        </w:rPr>
      </w:pPr>
      <w:r w:rsidRPr="00B43EF8">
        <w:rPr>
          <w:b/>
          <w:bCs/>
        </w:rPr>
        <w:t>Eligibility Criteria</w:t>
      </w:r>
    </w:p>
    <w:p w14:paraId="7325CE69" w14:textId="77777777" w:rsidR="00B43EF8" w:rsidRPr="00B43EF8" w:rsidRDefault="00B43EF8" w:rsidP="00B43EF8">
      <w:pPr>
        <w:jc w:val="both"/>
        <w:rPr>
          <w:b/>
          <w:bCs/>
          <w:u w:val="single"/>
        </w:rPr>
      </w:pPr>
      <w:r w:rsidRPr="00B43EF8">
        <w:rPr>
          <w:b/>
          <w:bCs/>
          <w:u w:val="single"/>
        </w:rPr>
        <w:t>Eligible Entities</w:t>
      </w:r>
    </w:p>
    <w:p w14:paraId="0C6C96D9" w14:textId="77777777" w:rsidR="00B43EF8" w:rsidRPr="00B43EF8" w:rsidRDefault="00B43EF8" w:rsidP="00B43EF8">
      <w:pPr>
        <w:jc w:val="both"/>
      </w:pPr>
      <w:r w:rsidRPr="00B43EF8">
        <w:t>To qualify for funding, applicants must meet the following criteria:</w:t>
      </w:r>
    </w:p>
    <w:p w14:paraId="3CE3AA52" w14:textId="77777777" w:rsidR="00B43EF8" w:rsidRPr="00B43EF8" w:rsidRDefault="00B43EF8" w:rsidP="00B43EF8">
      <w:pPr>
        <w:numPr>
          <w:ilvl w:val="0"/>
          <w:numId w:val="12"/>
        </w:numPr>
        <w:jc w:val="both"/>
      </w:pPr>
      <w:r w:rsidRPr="00B43EF8">
        <w:t>Legal Status: Applicants must be legally registered as non-profit civil society organizations (CSOs) or non-governmental organizations (NGOs) in compliance with Türkiye’s legislation.</w:t>
      </w:r>
    </w:p>
    <w:p w14:paraId="0509DB11" w14:textId="77777777" w:rsidR="00B43EF8" w:rsidRPr="00B43EF8" w:rsidRDefault="00B43EF8" w:rsidP="00B43EF8">
      <w:pPr>
        <w:numPr>
          <w:ilvl w:val="0"/>
          <w:numId w:val="12"/>
        </w:numPr>
        <w:jc w:val="both"/>
      </w:pPr>
      <w:r w:rsidRPr="00B43EF8">
        <w:t>Minimum Registration Period: Organizations must have been registered for at least three years.</w:t>
      </w:r>
    </w:p>
    <w:p w14:paraId="6625D565" w14:textId="77777777" w:rsidR="00B43EF8" w:rsidRPr="00B43EF8" w:rsidRDefault="00B43EF8" w:rsidP="00B43EF8">
      <w:pPr>
        <w:numPr>
          <w:ilvl w:val="0"/>
          <w:numId w:val="12"/>
        </w:numPr>
        <w:jc w:val="both"/>
      </w:pPr>
      <w:r w:rsidRPr="00B43EF8">
        <w:t>Expertise and Capacity: Demonstrated experience in project management and expertise in criminal justice, human rights, or social rehabilitation.</w:t>
      </w:r>
    </w:p>
    <w:p w14:paraId="547862B3" w14:textId="40AC1D0F" w:rsidR="00B43EF8" w:rsidRPr="00B43EF8" w:rsidRDefault="00B43EF8" w:rsidP="00B43EF8">
      <w:pPr>
        <w:numPr>
          <w:ilvl w:val="0"/>
          <w:numId w:val="12"/>
        </w:numPr>
        <w:jc w:val="both"/>
      </w:pPr>
      <w:r w:rsidRPr="00B43EF8">
        <w:t>Established Relationships: Proven collaborations or existing relationships with prison authorities</w:t>
      </w:r>
      <w:r w:rsidR="00443F11">
        <w:t xml:space="preserve"> (pr</w:t>
      </w:r>
      <w:r w:rsidR="00A76591">
        <w:t>eferrable)</w:t>
      </w:r>
      <w:r w:rsidRPr="00B43EF8">
        <w:t>.</w:t>
      </w:r>
    </w:p>
    <w:p w14:paraId="296F5328" w14:textId="77777777" w:rsidR="00B43EF8" w:rsidRPr="00B43EF8" w:rsidRDefault="00B43EF8" w:rsidP="00B43EF8">
      <w:pPr>
        <w:numPr>
          <w:ilvl w:val="0"/>
          <w:numId w:val="12"/>
        </w:numPr>
        <w:jc w:val="both"/>
      </w:pPr>
      <w:r w:rsidRPr="00B43EF8">
        <w:t>Organizational Capability: Sufficient organizational capacity to implement proposed actions effectively.</w:t>
      </w:r>
    </w:p>
    <w:p w14:paraId="2ED5EF1D" w14:textId="77777777" w:rsidR="00B43EF8" w:rsidRPr="00B43EF8" w:rsidRDefault="00B43EF8" w:rsidP="00B43EF8">
      <w:pPr>
        <w:jc w:val="both"/>
        <w:rPr>
          <w:b/>
          <w:bCs/>
          <w:u w:val="single"/>
        </w:rPr>
      </w:pPr>
      <w:r w:rsidRPr="00B43EF8">
        <w:rPr>
          <w:b/>
          <w:bCs/>
          <w:u w:val="single"/>
        </w:rPr>
        <w:t>Eligible Activities</w:t>
      </w:r>
    </w:p>
    <w:p w14:paraId="6042ED3F" w14:textId="77777777" w:rsidR="00B43EF8" w:rsidRPr="00B43EF8" w:rsidRDefault="00B43EF8" w:rsidP="00B43EF8">
      <w:pPr>
        <w:jc w:val="both"/>
      </w:pPr>
      <w:r w:rsidRPr="00B43EF8">
        <w:t>Projects and initiatives eligible for funding include:</w:t>
      </w:r>
    </w:p>
    <w:p w14:paraId="02946F32" w14:textId="77777777" w:rsidR="00B43EF8" w:rsidRPr="00B43EF8" w:rsidRDefault="00B43EF8" w:rsidP="00B43EF8">
      <w:pPr>
        <w:numPr>
          <w:ilvl w:val="0"/>
          <w:numId w:val="13"/>
        </w:numPr>
        <w:jc w:val="both"/>
      </w:pPr>
      <w:r w:rsidRPr="00B43EF8">
        <w:t>Legal Support: Tackling rights violations and addressing instances of torture in prisons.</w:t>
      </w:r>
    </w:p>
    <w:p w14:paraId="137A7475" w14:textId="77777777" w:rsidR="00B43EF8" w:rsidRPr="00B43EF8" w:rsidRDefault="00B43EF8" w:rsidP="00B43EF8">
      <w:pPr>
        <w:numPr>
          <w:ilvl w:val="0"/>
          <w:numId w:val="13"/>
        </w:numPr>
        <w:jc w:val="both"/>
      </w:pPr>
      <w:r w:rsidRPr="00B43EF8">
        <w:t>Monitoring Activities: Conducting prison visits, desk-based monitoring, and producing analytical reports with actionable recommendations.</w:t>
      </w:r>
    </w:p>
    <w:p w14:paraId="5BD2752F" w14:textId="77777777" w:rsidR="00B43EF8" w:rsidRPr="00B43EF8" w:rsidRDefault="00B43EF8" w:rsidP="00B43EF8">
      <w:pPr>
        <w:numPr>
          <w:ilvl w:val="0"/>
          <w:numId w:val="13"/>
        </w:numPr>
        <w:jc w:val="both"/>
      </w:pPr>
      <w:r w:rsidRPr="00B43EF8">
        <w:t>Advocacy Campaigns: Implementing campaigns and lobbying for legal and policy reforms to improve prison conditions.</w:t>
      </w:r>
    </w:p>
    <w:p w14:paraId="33E68443" w14:textId="77777777" w:rsidR="00B43EF8" w:rsidRPr="00B43EF8" w:rsidRDefault="00B43EF8" w:rsidP="00B43EF8">
      <w:pPr>
        <w:numPr>
          <w:ilvl w:val="0"/>
          <w:numId w:val="13"/>
        </w:numPr>
        <w:jc w:val="both"/>
      </w:pPr>
      <w:r w:rsidRPr="00B43EF8">
        <w:t>Educational Initiatives: Offering workshops and training for prisoners and their families on their rights and reintegration processes.</w:t>
      </w:r>
    </w:p>
    <w:p w14:paraId="2D6CBF4E" w14:textId="77777777" w:rsidR="00B43EF8" w:rsidRPr="00B43EF8" w:rsidRDefault="00B43EF8" w:rsidP="00B43EF8">
      <w:pPr>
        <w:numPr>
          <w:ilvl w:val="0"/>
          <w:numId w:val="13"/>
        </w:numPr>
        <w:jc w:val="both"/>
      </w:pPr>
      <w:r w:rsidRPr="00B43EF8">
        <w:t>Awareness-Raising Efforts: Publishing studies, organizing events, and distributing informational materials to highlight prison issues.</w:t>
      </w:r>
    </w:p>
    <w:p w14:paraId="3FF3D952" w14:textId="77777777" w:rsidR="00B43EF8" w:rsidRPr="00B43EF8" w:rsidRDefault="00B43EF8" w:rsidP="00B43EF8">
      <w:pPr>
        <w:numPr>
          <w:ilvl w:val="0"/>
          <w:numId w:val="13"/>
        </w:numPr>
        <w:jc w:val="both"/>
      </w:pPr>
      <w:r w:rsidRPr="00B43EF8">
        <w:lastRenderedPageBreak/>
        <w:t>Reintegration Support: Facilitating social reintegration programs and promoting cultural and artistic activities.</w:t>
      </w:r>
    </w:p>
    <w:p w14:paraId="0AD19F24" w14:textId="5B91D0E9" w:rsidR="00B43EF8" w:rsidRPr="0078135B" w:rsidRDefault="00B43EF8" w:rsidP="0078135B">
      <w:pPr>
        <w:numPr>
          <w:ilvl w:val="0"/>
          <w:numId w:val="13"/>
        </w:numPr>
        <w:jc w:val="both"/>
      </w:pPr>
      <w:r w:rsidRPr="00B43EF8">
        <w:t>Access to Justice Services: Providing legal aid and advocacy for prisoners.</w:t>
      </w:r>
    </w:p>
    <w:p w14:paraId="3BA95D05" w14:textId="3AEB453F" w:rsidR="00FE43D9" w:rsidRPr="00FE43D9" w:rsidRDefault="00FE43D9" w:rsidP="00FE43D9">
      <w:pPr>
        <w:jc w:val="both"/>
      </w:pPr>
    </w:p>
    <w:p w14:paraId="6B626640" w14:textId="77777777" w:rsidR="00FE43D9" w:rsidRPr="00FE43D9" w:rsidRDefault="00FE43D9" w:rsidP="00A31FF4">
      <w:pPr>
        <w:pBdr>
          <w:top w:val="single" w:sz="4" w:space="1" w:color="auto"/>
          <w:left w:val="single" w:sz="4" w:space="4" w:color="auto"/>
          <w:bottom w:val="single" w:sz="4" w:space="1" w:color="auto"/>
          <w:right w:val="single" w:sz="4" w:space="4" w:color="auto"/>
        </w:pBdr>
        <w:jc w:val="both"/>
        <w:rPr>
          <w:b/>
          <w:bCs/>
        </w:rPr>
      </w:pPr>
      <w:r w:rsidRPr="00FE43D9">
        <w:rPr>
          <w:b/>
          <w:bCs/>
        </w:rPr>
        <w:t>Selection Process</w:t>
      </w:r>
    </w:p>
    <w:p w14:paraId="38F9927F" w14:textId="77777777" w:rsidR="00FE43D9" w:rsidRDefault="00FE43D9" w:rsidP="00FE43D9">
      <w:pPr>
        <w:jc w:val="both"/>
        <w:rPr>
          <w:b/>
          <w:bCs/>
        </w:rPr>
      </w:pPr>
      <w:r w:rsidRPr="00FE43D9">
        <w:rPr>
          <w:b/>
          <w:bCs/>
        </w:rPr>
        <w:t>Stage I: Concept Note Evaluation</w:t>
      </w:r>
    </w:p>
    <w:p w14:paraId="616472A5" w14:textId="72DF90CC" w:rsidR="0078135B" w:rsidRPr="00FE43D9" w:rsidRDefault="0078135B" w:rsidP="0078135B">
      <w:pPr>
        <w:ind w:left="720"/>
        <w:jc w:val="both"/>
      </w:pPr>
      <w:r w:rsidRPr="00FE43D9">
        <w:rPr>
          <w:b/>
          <w:bCs/>
        </w:rPr>
        <w:t>Scoring Criteria:</w:t>
      </w:r>
    </w:p>
    <w:tbl>
      <w:tblPr>
        <w:tblStyle w:val="TableGrid"/>
        <w:tblW w:w="0" w:type="auto"/>
        <w:tblLook w:val="04A0" w:firstRow="1" w:lastRow="0" w:firstColumn="1" w:lastColumn="0" w:noHBand="0" w:noVBand="1"/>
      </w:tblPr>
      <w:tblGrid>
        <w:gridCol w:w="445"/>
        <w:gridCol w:w="5788"/>
        <w:gridCol w:w="3117"/>
      </w:tblGrid>
      <w:tr w:rsidR="0078135B" w:rsidRPr="00EC5ABA" w14:paraId="143D6D8A" w14:textId="77777777" w:rsidTr="00C43620">
        <w:tc>
          <w:tcPr>
            <w:tcW w:w="445" w:type="dxa"/>
          </w:tcPr>
          <w:p w14:paraId="43105B70" w14:textId="77777777" w:rsidR="0078135B" w:rsidRPr="00702420" w:rsidRDefault="0078135B" w:rsidP="00C43620">
            <w:pPr>
              <w:jc w:val="center"/>
            </w:pPr>
          </w:p>
        </w:tc>
        <w:tc>
          <w:tcPr>
            <w:tcW w:w="5788" w:type="dxa"/>
          </w:tcPr>
          <w:p w14:paraId="6590A35D" w14:textId="77777777" w:rsidR="0078135B" w:rsidRPr="00702420" w:rsidRDefault="0078135B" w:rsidP="00C43620">
            <w:pPr>
              <w:jc w:val="center"/>
              <w:rPr>
                <w:b/>
                <w:bCs/>
              </w:rPr>
            </w:pPr>
            <w:r w:rsidRPr="00702420">
              <w:rPr>
                <w:b/>
                <w:bCs/>
              </w:rPr>
              <w:t>Concept note selection criteria</w:t>
            </w:r>
          </w:p>
        </w:tc>
        <w:tc>
          <w:tcPr>
            <w:tcW w:w="3117" w:type="dxa"/>
          </w:tcPr>
          <w:p w14:paraId="78D81227" w14:textId="77777777" w:rsidR="0078135B" w:rsidRPr="00702420" w:rsidRDefault="0078135B" w:rsidP="00C43620">
            <w:pPr>
              <w:jc w:val="center"/>
              <w:rPr>
                <w:b/>
                <w:bCs/>
              </w:rPr>
            </w:pPr>
            <w:r w:rsidRPr="00702420">
              <w:rPr>
                <w:b/>
                <w:bCs/>
              </w:rPr>
              <w:t>Maximum score</w:t>
            </w:r>
          </w:p>
        </w:tc>
      </w:tr>
      <w:tr w:rsidR="0078135B" w14:paraId="18033151" w14:textId="77777777" w:rsidTr="00C43620">
        <w:tc>
          <w:tcPr>
            <w:tcW w:w="445" w:type="dxa"/>
          </w:tcPr>
          <w:p w14:paraId="139FF4EB" w14:textId="77777777" w:rsidR="0078135B" w:rsidRDefault="0078135B" w:rsidP="00C43620">
            <w:pPr>
              <w:jc w:val="both"/>
            </w:pPr>
          </w:p>
        </w:tc>
        <w:tc>
          <w:tcPr>
            <w:tcW w:w="5788" w:type="dxa"/>
          </w:tcPr>
          <w:p w14:paraId="7A838E2B" w14:textId="77777777" w:rsidR="0078135B" w:rsidRDefault="0078135B" w:rsidP="00C43620">
            <w:pPr>
              <w:jc w:val="both"/>
            </w:pPr>
            <w:r>
              <w:t>Legal non-profit CSO or NGO</w:t>
            </w:r>
          </w:p>
        </w:tc>
        <w:tc>
          <w:tcPr>
            <w:tcW w:w="3117" w:type="dxa"/>
          </w:tcPr>
          <w:p w14:paraId="23F20DAB" w14:textId="77777777" w:rsidR="0078135B" w:rsidRDefault="0078135B" w:rsidP="00C43620">
            <w:pPr>
              <w:jc w:val="center"/>
            </w:pPr>
            <w:r>
              <w:t>Yes/No</w:t>
            </w:r>
          </w:p>
        </w:tc>
      </w:tr>
      <w:tr w:rsidR="0078135B" w14:paraId="5C5F616A" w14:textId="77777777" w:rsidTr="00C43620">
        <w:tc>
          <w:tcPr>
            <w:tcW w:w="445" w:type="dxa"/>
          </w:tcPr>
          <w:p w14:paraId="4D879BE2" w14:textId="77777777" w:rsidR="0078135B" w:rsidRDefault="0078135B" w:rsidP="00C43620">
            <w:pPr>
              <w:jc w:val="both"/>
            </w:pPr>
          </w:p>
        </w:tc>
        <w:tc>
          <w:tcPr>
            <w:tcW w:w="5788" w:type="dxa"/>
          </w:tcPr>
          <w:p w14:paraId="6674146D" w14:textId="77777777" w:rsidR="0078135B" w:rsidRDefault="0078135B" w:rsidP="00C43620">
            <w:pPr>
              <w:jc w:val="both"/>
            </w:pPr>
            <w:r>
              <w:t>Registered for at least 3 years</w:t>
            </w:r>
          </w:p>
        </w:tc>
        <w:tc>
          <w:tcPr>
            <w:tcW w:w="3117" w:type="dxa"/>
          </w:tcPr>
          <w:p w14:paraId="0E4085F3" w14:textId="77777777" w:rsidR="0078135B" w:rsidRDefault="0078135B" w:rsidP="00C43620">
            <w:pPr>
              <w:jc w:val="center"/>
            </w:pPr>
            <w:r>
              <w:t>Yes/No</w:t>
            </w:r>
          </w:p>
        </w:tc>
      </w:tr>
      <w:tr w:rsidR="0078135B" w14:paraId="2497A196" w14:textId="77777777" w:rsidTr="00C43620">
        <w:tc>
          <w:tcPr>
            <w:tcW w:w="445" w:type="dxa"/>
          </w:tcPr>
          <w:p w14:paraId="52290ACE" w14:textId="77777777" w:rsidR="0078135B" w:rsidRDefault="0078135B" w:rsidP="00C43620">
            <w:pPr>
              <w:jc w:val="both"/>
            </w:pPr>
          </w:p>
        </w:tc>
        <w:tc>
          <w:tcPr>
            <w:tcW w:w="5788" w:type="dxa"/>
          </w:tcPr>
          <w:p w14:paraId="0B905EE0" w14:textId="77777777" w:rsidR="0078135B" w:rsidRDefault="0078135B" w:rsidP="00C43620">
            <w:pPr>
              <w:jc w:val="both"/>
            </w:pPr>
            <w:r>
              <w:t>Eligibility of costs and activities in line with the Call for proposals</w:t>
            </w:r>
          </w:p>
        </w:tc>
        <w:tc>
          <w:tcPr>
            <w:tcW w:w="3117" w:type="dxa"/>
          </w:tcPr>
          <w:p w14:paraId="3C946947" w14:textId="77777777" w:rsidR="0078135B" w:rsidRDefault="0078135B" w:rsidP="00C43620">
            <w:pPr>
              <w:jc w:val="center"/>
            </w:pPr>
            <w:r>
              <w:t>20</w:t>
            </w:r>
          </w:p>
        </w:tc>
      </w:tr>
      <w:tr w:rsidR="0078135B" w14:paraId="7B037BF0" w14:textId="77777777" w:rsidTr="00C43620">
        <w:tc>
          <w:tcPr>
            <w:tcW w:w="445" w:type="dxa"/>
          </w:tcPr>
          <w:p w14:paraId="681EB455" w14:textId="77777777" w:rsidR="0078135B" w:rsidRDefault="0078135B" w:rsidP="00C43620">
            <w:pPr>
              <w:jc w:val="both"/>
            </w:pPr>
          </w:p>
        </w:tc>
        <w:tc>
          <w:tcPr>
            <w:tcW w:w="5788" w:type="dxa"/>
          </w:tcPr>
          <w:p w14:paraId="7CF90D99" w14:textId="77777777" w:rsidR="0078135B" w:rsidRDefault="0078135B" w:rsidP="00C43620">
            <w:pPr>
              <w:jc w:val="both"/>
            </w:pPr>
            <w:r w:rsidRPr="007A1B6A">
              <w:t>Compliance of the proposal with the overall goals of the call</w:t>
            </w:r>
          </w:p>
        </w:tc>
        <w:tc>
          <w:tcPr>
            <w:tcW w:w="3117" w:type="dxa"/>
          </w:tcPr>
          <w:p w14:paraId="798B95EC" w14:textId="77777777" w:rsidR="0078135B" w:rsidRDefault="0078135B" w:rsidP="00C43620">
            <w:pPr>
              <w:jc w:val="center"/>
            </w:pPr>
            <w:r>
              <w:t>30</w:t>
            </w:r>
          </w:p>
        </w:tc>
      </w:tr>
      <w:tr w:rsidR="0078135B" w14:paraId="34B293F8" w14:textId="77777777" w:rsidTr="00C43620">
        <w:tc>
          <w:tcPr>
            <w:tcW w:w="445" w:type="dxa"/>
          </w:tcPr>
          <w:p w14:paraId="4FB6941B" w14:textId="77777777" w:rsidR="0078135B" w:rsidRDefault="0078135B" w:rsidP="00C43620">
            <w:pPr>
              <w:jc w:val="both"/>
            </w:pPr>
          </w:p>
        </w:tc>
        <w:tc>
          <w:tcPr>
            <w:tcW w:w="5788" w:type="dxa"/>
          </w:tcPr>
          <w:p w14:paraId="2A5CBBA2" w14:textId="77777777" w:rsidR="0078135B" w:rsidRPr="007A1B6A" w:rsidRDefault="0078135B" w:rsidP="00C43620">
            <w:pPr>
              <w:tabs>
                <w:tab w:val="left" w:pos="851"/>
              </w:tabs>
              <w:spacing w:after="200"/>
              <w:jc w:val="both"/>
            </w:pPr>
            <w:r w:rsidRPr="007A1B6A">
              <w:t>Access and proven experience and expertise of monitoring and reporting (as relevant)</w:t>
            </w:r>
          </w:p>
        </w:tc>
        <w:tc>
          <w:tcPr>
            <w:tcW w:w="3117" w:type="dxa"/>
          </w:tcPr>
          <w:p w14:paraId="4296F7F0" w14:textId="77777777" w:rsidR="0078135B" w:rsidRDefault="0078135B" w:rsidP="00C43620">
            <w:pPr>
              <w:jc w:val="center"/>
            </w:pPr>
            <w:r>
              <w:t>30</w:t>
            </w:r>
          </w:p>
        </w:tc>
      </w:tr>
      <w:tr w:rsidR="0078135B" w14:paraId="67689E86" w14:textId="77777777" w:rsidTr="00C43620">
        <w:tc>
          <w:tcPr>
            <w:tcW w:w="445" w:type="dxa"/>
          </w:tcPr>
          <w:p w14:paraId="41E36C82" w14:textId="77777777" w:rsidR="0078135B" w:rsidRDefault="0078135B" w:rsidP="00C43620">
            <w:pPr>
              <w:jc w:val="both"/>
            </w:pPr>
          </w:p>
        </w:tc>
        <w:tc>
          <w:tcPr>
            <w:tcW w:w="5788" w:type="dxa"/>
          </w:tcPr>
          <w:p w14:paraId="4CC681C8" w14:textId="77777777" w:rsidR="0078135B" w:rsidRPr="007A1B6A" w:rsidRDefault="0078135B" w:rsidP="00C43620">
            <w:pPr>
              <w:tabs>
                <w:tab w:val="left" w:pos="851"/>
              </w:tabs>
              <w:spacing w:after="200"/>
              <w:jc w:val="both"/>
            </w:pPr>
            <w:r>
              <w:t xml:space="preserve">Relevance and added value </w:t>
            </w:r>
          </w:p>
        </w:tc>
        <w:tc>
          <w:tcPr>
            <w:tcW w:w="3117" w:type="dxa"/>
          </w:tcPr>
          <w:p w14:paraId="766DA53A" w14:textId="77777777" w:rsidR="0078135B" w:rsidRDefault="0078135B" w:rsidP="00C43620">
            <w:pPr>
              <w:jc w:val="center"/>
            </w:pPr>
            <w:r>
              <w:t>10</w:t>
            </w:r>
          </w:p>
        </w:tc>
      </w:tr>
      <w:tr w:rsidR="0078135B" w14:paraId="59AD3399" w14:textId="77777777" w:rsidTr="00C43620">
        <w:tc>
          <w:tcPr>
            <w:tcW w:w="445" w:type="dxa"/>
          </w:tcPr>
          <w:p w14:paraId="33966FA5" w14:textId="77777777" w:rsidR="0078135B" w:rsidRDefault="0078135B" w:rsidP="00C43620">
            <w:pPr>
              <w:jc w:val="both"/>
            </w:pPr>
          </w:p>
        </w:tc>
        <w:tc>
          <w:tcPr>
            <w:tcW w:w="5788" w:type="dxa"/>
          </w:tcPr>
          <w:p w14:paraId="2D45D52C" w14:textId="77777777" w:rsidR="0078135B" w:rsidRDefault="0078135B" w:rsidP="00C43620">
            <w:pPr>
              <w:tabs>
                <w:tab w:val="left" w:pos="851"/>
              </w:tabs>
              <w:spacing w:after="200"/>
              <w:jc w:val="both"/>
            </w:pPr>
            <w:r w:rsidRPr="007A1B6A">
              <w:t>Geographical scope</w:t>
            </w:r>
            <w:r>
              <w:t xml:space="preserve"> encompassed </w:t>
            </w:r>
          </w:p>
        </w:tc>
        <w:tc>
          <w:tcPr>
            <w:tcW w:w="3117" w:type="dxa"/>
          </w:tcPr>
          <w:p w14:paraId="6B0FD6B8" w14:textId="77777777" w:rsidR="0078135B" w:rsidRDefault="0078135B" w:rsidP="00C43620">
            <w:pPr>
              <w:jc w:val="center"/>
            </w:pPr>
            <w:r>
              <w:t xml:space="preserve">10 </w:t>
            </w:r>
          </w:p>
        </w:tc>
      </w:tr>
    </w:tbl>
    <w:p w14:paraId="1EE43AA9" w14:textId="77777777" w:rsidR="0078135B" w:rsidRPr="00702420" w:rsidRDefault="0078135B" w:rsidP="00FE43D9">
      <w:pPr>
        <w:jc w:val="both"/>
      </w:pPr>
    </w:p>
    <w:p w14:paraId="2D9A9A45" w14:textId="76749DC3" w:rsidR="0078135B" w:rsidRPr="00702420" w:rsidRDefault="0078135B" w:rsidP="00FE43D9">
      <w:pPr>
        <w:jc w:val="both"/>
      </w:pPr>
      <w:r w:rsidRPr="00702420">
        <w:t>Only shortlisted entities will be invited to stage II</w:t>
      </w:r>
    </w:p>
    <w:p w14:paraId="262526B0" w14:textId="6354219E" w:rsidR="00FE43D9" w:rsidRPr="00FE43D9" w:rsidRDefault="00FE43D9" w:rsidP="00FE43D9">
      <w:pPr>
        <w:jc w:val="both"/>
        <w:rPr>
          <w:b/>
          <w:bCs/>
        </w:rPr>
      </w:pPr>
      <w:r w:rsidRPr="00FE43D9">
        <w:rPr>
          <w:b/>
          <w:bCs/>
        </w:rPr>
        <w:t>Stage II: Full Proposal Evaluation</w:t>
      </w:r>
    </w:p>
    <w:p w14:paraId="7A49F15F" w14:textId="77777777" w:rsidR="00FE43D9" w:rsidRPr="00FE43D9" w:rsidRDefault="00FE43D9" w:rsidP="00FE43D9">
      <w:pPr>
        <w:numPr>
          <w:ilvl w:val="0"/>
          <w:numId w:val="6"/>
        </w:numPr>
        <w:jc w:val="both"/>
        <w:rPr>
          <w:b/>
          <w:bCs/>
        </w:rPr>
      </w:pPr>
      <w:r w:rsidRPr="00FE43D9">
        <w:rPr>
          <w:b/>
          <w:bCs/>
        </w:rPr>
        <w:t>Scoring Criteria:</w:t>
      </w:r>
    </w:p>
    <w:tbl>
      <w:tblPr>
        <w:tblW w:w="9490" w:type="dxa"/>
        <w:tblInd w:w="-5" w:type="dxa"/>
        <w:tblCellMar>
          <w:top w:w="10" w:type="dxa"/>
          <w:left w:w="106" w:type="dxa"/>
          <w:right w:w="449" w:type="dxa"/>
        </w:tblCellMar>
        <w:tblLook w:val="04A0" w:firstRow="1" w:lastRow="0" w:firstColumn="1" w:lastColumn="0" w:noHBand="0" w:noVBand="1"/>
      </w:tblPr>
      <w:tblGrid>
        <w:gridCol w:w="720"/>
        <w:gridCol w:w="5684"/>
        <w:gridCol w:w="3086"/>
      </w:tblGrid>
      <w:tr w:rsidR="0078135B" w:rsidRPr="007A1B6A" w14:paraId="1E675C2A" w14:textId="77777777" w:rsidTr="00C43620">
        <w:trPr>
          <w:trHeight w:val="264"/>
        </w:trPr>
        <w:tc>
          <w:tcPr>
            <w:tcW w:w="720" w:type="dxa"/>
            <w:tcBorders>
              <w:top w:val="single" w:sz="4" w:space="0" w:color="000000"/>
              <w:left w:val="single" w:sz="4" w:space="0" w:color="000000"/>
              <w:bottom w:val="single" w:sz="4" w:space="0" w:color="000000"/>
              <w:right w:val="single" w:sz="4" w:space="0" w:color="000000"/>
            </w:tcBorders>
            <w:hideMark/>
          </w:tcPr>
          <w:p w14:paraId="7C6C6AC0" w14:textId="77777777" w:rsidR="0078135B" w:rsidRPr="007A1B6A" w:rsidRDefault="0078135B" w:rsidP="00C43620"/>
        </w:tc>
        <w:tc>
          <w:tcPr>
            <w:tcW w:w="5684" w:type="dxa"/>
            <w:tcBorders>
              <w:top w:val="single" w:sz="4" w:space="0" w:color="000000"/>
              <w:left w:val="single" w:sz="4" w:space="0" w:color="000000"/>
              <w:bottom w:val="single" w:sz="4" w:space="0" w:color="000000"/>
              <w:right w:val="single" w:sz="4" w:space="0" w:color="000000"/>
            </w:tcBorders>
            <w:hideMark/>
          </w:tcPr>
          <w:p w14:paraId="66483C69" w14:textId="77777777" w:rsidR="0078135B" w:rsidRPr="00702420" w:rsidRDefault="0078135B" w:rsidP="00C43620">
            <w:pPr>
              <w:rPr>
                <w:b/>
                <w:bCs/>
              </w:rPr>
            </w:pPr>
            <w:r w:rsidRPr="00702420">
              <w:rPr>
                <w:b/>
                <w:bCs/>
              </w:rPr>
              <w:t xml:space="preserve">Full Proposal selection criteria </w:t>
            </w:r>
          </w:p>
        </w:tc>
        <w:tc>
          <w:tcPr>
            <w:tcW w:w="3086" w:type="dxa"/>
            <w:tcBorders>
              <w:top w:val="single" w:sz="4" w:space="0" w:color="000000"/>
              <w:left w:val="single" w:sz="4" w:space="0" w:color="000000"/>
              <w:bottom w:val="single" w:sz="4" w:space="0" w:color="000000"/>
              <w:right w:val="single" w:sz="4" w:space="0" w:color="000000"/>
            </w:tcBorders>
            <w:hideMark/>
          </w:tcPr>
          <w:p w14:paraId="7C42814D" w14:textId="77777777" w:rsidR="0078135B" w:rsidRPr="00702420" w:rsidRDefault="0078135B" w:rsidP="00C43620">
            <w:pPr>
              <w:rPr>
                <w:b/>
                <w:bCs/>
              </w:rPr>
            </w:pPr>
            <w:r w:rsidRPr="00702420">
              <w:rPr>
                <w:b/>
                <w:bCs/>
              </w:rPr>
              <w:t xml:space="preserve">Maximum score </w:t>
            </w:r>
          </w:p>
        </w:tc>
      </w:tr>
      <w:tr w:rsidR="0078135B" w:rsidRPr="007A1B6A" w14:paraId="730CB9EF" w14:textId="77777777" w:rsidTr="00C43620">
        <w:trPr>
          <w:trHeight w:val="514"/>
        </w:trPr>
        <w:tc>
          <w:tcPr>
            <w:tcW w:w="720" w:type="dxa"/>
            <w:tcBorders>
              <w:top w:val="single" w:sz="4" w:space="0" w:color="000000"/>
              <w:left w:val="single" w:sz="4" w:space="0" w:color="000000"/>
              <w:bottom w:val="single" w:sz="4" w:space="0" w:color="000000"/>
              <w:right w:val="single" w:sz="4" w:space="0" w:color="000000"/>
            </w:tcBorders>
            <w:hideMark/>
          </w:tcPr>
          <w:p w14:paraId="7E476E07" w14:textId="77777777" w:rsidR="0078135B" w:rsidRPr="007A1B6A" w:rsidRDefault="0078135B" w:rsidP="00C43620">
            <w:r w:rsidRPr="007A1B6A">
              <w:t xml:space="preserve">1 </w:t>
            </w:r>
          </w:p>
        </w:tc>
        <w:tc>
          <w:tcPr>
            <w:tcW w:w="5684" w:type="dxa"/>
            <w:tcBorders>
              <w:top w:val="single" w:sz="4" w:space="0" w:color="000000"/>
              <w:left w:val="single" w:sz="4" w:space="0" w:color="000000"/>
              <w:bottom w:val="single" w:sz="4" w:space="0" w:color="000000"/>
              <w:right w:val="single" w:sz="4" w:space="0" w:color="000000"/>
            </w:tcBorders>
            <w:hideMark/>
          </w:tcPr>
          <w:p w14:paraId="1554FA48" w14:textId="77777777" w:rsidR="0078135B" w:rsidRPr="007A1B6A" w:rsidRDefault="0078135B" w:rsidP="00C43620">
            <w:r w:rsidRPr="007A1B6A">
              <w:t xml:space="preserve">Compliance of the proposal with the overall goals of the call </w:t>
            </w:r>
          </w:p>
        </w:tc>
        <w:tc>
          <w:tcPr>
            <w:tcW w:w="3086" w:type="dxa"/>
            <w:tcBorders>
              <w:top w:val="single" w:sz="4" w:space="0" w:color="000000"/>
              <w:left w:val="single" w:sz="4" w:space="0" w:color="000000"/>
              <w:bottom w:val="single" w:sz="4" w:space="0" w:color="000000"/>
              <w:right w:val="single" w:sz="4" w:space="0" w:color="000000"/>
            </w:tcBorders>
            <w:hideMark/>
          </w:tcPr>
          <w:p w14:paraId="781259D2" w14:textId="77777777" w:rsidR="0078135B" w:rsidRPr="007A1B6A" w:rsidRDefault="0078135B" w:rsidP="00C43620">
            <w:pPr>
              <w:jc w:val="center"/>
            </w:pPr>
            <w:r w:rsidRPr="00702420">
              <w:t>20</w:t>
            </w:r>
          </w:p>
        </w:tc>
      </w:tr>
      <w:tr w:rsidR="0078135B" w:rsidRPr="007A1B6A" w14:paraId="26193BB5" w14:textId="77777777" w:rsidTr="00C43620">
        <w:trPr>
          <w:trHeight w:val="518"/>
        </w:trPr>
        <w:tc>
          <w:tcPr>
            <w:tcW w:w="720" w:type="dxa"/>
            <w:tcBorders>
              <w:top w:val="single" w:sz="4" w:space="0" w:color="000000"/>
              <w:left w:val="single" w:sz="4" w:space="0" w:color="000000"/>
              <w:bottom w:val="single" w:sz="4" w:space="0" w:color="000000"/>
              <w:right w:val="single" w:sz="4" w:space="0" w:color="000000"/>
            </w:tcBorders>
            <w:hideMark/>
          </w:tcPr>
          <w:p w14:paraId="4A45EE59" w14:textId="77777777" w:rsidR="0078135B" w:rsidRPr="007A1B6A" w:rsidRDefault="0078135B" w:rsidP="00C43620">
            <w:r w:rsidRPr="007A1B6A">
              <w:t xml:space="preserve">2 </w:t>
            </w:r>
          </w:p>
        </w:tc>
        <w:tc>
          <w:tcPr>
            <w:tcW w:w="5684" w:type="dxa"/>
            <w:tcBorders>
              <w:top w:val="single" w:sz="4" w:space="0" w:color="000000"/>
              <w:left w:val="single" w:sz="4" w:space="0" w:color="000000"/>
              <w:bottom w:val="single" w:sz="4" w:space="0" w:color="000000"/>
              <w:right w:val="single" w:sz="4" w:space="0" w:color="000000"/>
            </w:tcBorders>
            <w:hideMark/>
          </w:tcPr>
          <w:p w14:paraId="77D5B527" w14:textId="77777777" w:rsidR="0078135B" w:rsidRPr="007A1B6A" w:rsidRDefault="0078135B" w:rsidP="00C43620">
            <w:r>
              <w:t>Expected Results and Outcomes</w:t>
            </w:r>
          </w:p>
        </w:tc>
        <w:tc>
          <w:tcPr>
            <w:tcW w:w="3086" w:type="dxa"/>
            <w:tcBorders>
              <w:top w:val="single" w:sz="4" w:space="0" w:color="000000"/>
              <w:left w:val="single" w:sz="4" w:space="0" w:color="000000"/>
              <w:bottom w:val="single" w:sz="4" w:space="0" w:color="000000"/>
              <w:right w:val="single" w:sz="4" w:space="0" w:color="000000"/>
            </w:tcBorders>
            <w:hideMark/>
          </w:tcPr>
          <w:p w14:paraId="5C939DCA" w14:textId="77777777" w:rsidR="0078135B" w:rsidRPr="007A1B6A" w:rsidRDefault="0078135B" w:rsidP="00C43620">
            <w:pPr>
              <w:jc w:val="center"/>
            </w:pPr>
            <w:r>
              <w:t>2</w:t>
            </w:r>
            <w:r w:rsidRPr="007A1B6A">
              <w:t>0</w:t>
            </w:r>
          </w:p>
        </w:tc>
      </w:tr>
      <w:tr w:rsidR="0078135B" w:rsidRPr="007A1B6A" w14:paraId="1107D02D" w14:textId="77777777" w:rsidTr="00C43620">
        <w:trPr>
          <w:trHeight w:val="259"/>
        </w:trPr>
        <w:tc>
          <w:tcPr>
            <w:tcW w:w="720" w:type="dxa"/>
            <w:tcBorders>
              <w:top w:val="single" w:sz="4" w:space="0" w:color="000000"/>
              <w:left w:val="single" w:sz="4" w:space="0" w:color="000000"/>
              <w:bottom w:val="single" w:sz="4" w:space="0" w:color="000000"/>
              <w:right w:val="single" w:sz="4" w:space="0" w:color="000000"/>
            </w:tcBorders>
            <w:hideMark/>
          </w:tcPr>
          <w:p w14:paraId="311442C1" w14:textId="77777777" w:rsidR="0078135B" w:rsidRPr="007A1B6A" w:rsidRDefault="0078135B" w:rsidP="00C43620">
            <w:r w:rsidRPr="007A1B6A">
              <w:t xml:space="preserve">3 </w:t>
            </w:r>
          </w:p>
        </w:tc>
        <w:tc>
          <w:tcPr>
            <w:tcW w:w="5684" w:type="dxa"/>
            <w:tcBorders>
              <w:top w:val="single" w:sz="4" w:space="0" w:color="000000"/>
              <w:left w:val="single" w:sz="4" w:space="0" w:color="000000"/>
              <w:bottom w:val="single" w:sz="4" w:space="0" w:color="000000"/>
              <w:right w:val="single" w:sz="4" w:space="0" w:color="000000"/>
            </w:tcBorders>
            <w:hideMark/>
          </w:tcPr>
          <w:p w14:paraId="7151C233" w14:textId="77777777" w:rsidR="0078135B" w:rsidRPr="007A1B6A" w:rsidRDefault="0078135B" w:rsidP="00C43620">
            <w:r>
              <w:t>Impact on organizational development</w:t>
            </w:r>
            <w:r w:rsidRPr="007A1B6A">
              <w:t xml:space="preserve"> </w:t>
            </w:r>
          </w:p>
        </w:tc>
        <w:tc>
          <w:tcPr>
            <w:tcW w:w="3086" w:type="dxa"/>
            <w:tcBorders>
              <w:top w:val="single" w:sz="4" w:space="0" w:color="000000"/>
              <w:left w:val="single" w:sz="4" w:space="0" w:color="000000"/>
              <w:bottom w:val="single" w:sz="4" w:space="0" w:color="000000"/>
              <w:right w:val="single" w:sz="4" w:space="0" w:color="000000"/>
            </w:tcBorders>
            <w:hideMark/>
          </w:tcPr>
          <w:p w14:paraId="6894016E" w14:textId="77777777" w:rsidR="0078135B" w:rsidRPr="007A1B6A" w:rsidRDefault="0078135B" w:rsidP="00C43620">
            <w:pPr>
              <w:jc w:val="center"/>
            </w:pPr>
            <w:r w:rsidRPr="007A1B6A">
              <w:t>1</w:t>
            </w:r>
            <w:r w:rsidRPr="00702420">
              <w:t>0</w:t>
            </w:r>
          </w:p>
        </w:tc>
      </w:tr>
      <w:tr w:rsidR="0078135B" w:rsidRPr="007A1B6A" w14:paraId="3EFA6B94" w14:textId="77777777" w:rsidTr="00C43620">
        <w:trPr>
          <w:trHeight w:val="264"/>
        </w:trPr>
        <w:tc>
          <w:tcPr>
            <w:tcW w:w="720" w:type="dxa"/>
            <w:tcBorders>
              <w:top w:val="single" w:sz="4" w:space="0" w:color="000000"/>
              <w:left w:val="single" w:sz="4" w:space="0" w:color="000000"/>
              <w:bottom w:val="single" w:sz="4" w:space="0" w:color="000000"/>
              <w:right w:val="single" w:sz="4" w:space="0" w:color="000000"/>
            </w:tcBorders>
            <w:hideMark/>
          </w:tcPr>
          <w:p w14:paraId="73CA0172" w14:textId="77777777" w:rsidR="0078135B" w:rsidRPr="007A1B6A" w:rsidRDefault="0078135B" w:rsidP="00C43620">
            <w:r w:rsidRPr="007A1B6A">
              <w:t xml:space="preserve">4 </w:t>
            </w:r>
          </w:p>
        </w:tc>
        <w:tc>
          <w:tcPr>
            <w:tcW w:w="5684" w:type="dxa"/>
            <w:tcBorders>
              <w:top w:val="single" w:sz="4" w:space="0" w:color="000000"/>
              <w:left w:val="single" w:sz="4" w:space="0" w:color="000000"/>
              <w:bottom w:val="single" w:sz="4" w:space="0" w:color="000000"/>
              <w:right w:val="single" w:sz="4" w:space="0" w:color="000000"/>
            </w:tcBorders>
            <w:hideMark/>
          </w:tcPr>
          <w:p w14:paraId="27A66DF9" w14:textId="77777777" w:rsidR="0078135B" w:rsidRPr="007A1B6A" w:rsidRDefault="0078135B" w:rsidP="00C43620">
            <w:r>
              <w:t>Monitoring framework</w:t>
            </w:r>
          </w:p>
        </w:tc>
        <w:tc>
          <w:tcPr>
            <w:tcW w:w="3086" w:type="dxa"/>
            <w:tcBorders>
              <w:top w:val="single" w:sz="4" w:space="0" w:color="000000"/>
              <w:left w:val="single" w:sz="4" w:space="0" w:color="000000"/>
              <w:bottom w:val="single" w:sz="4" w:space="0" w:color="000000"/>
              <w:right w:val="single" w:sz="4" w:space="0" w:color="000000"/>
            </w:tcBorders>
            <w:hideMark/>
          </w:tcPr>
          <w:p w14:paraId="36D5B12A" w14:textId="77777777" w:rsidR="0078135B" w:rsidRPr="007A1B6A" w:rsidRDefault="0078135B" w:rsidP="00C43620">
            <w:pPr>
              <w:jc w:val="center"/>
            </w:pPr>
            <w:r w:rsidRPr="007A1B6A">
              <w:t>10</w:t>
            </w:r>
          </w:p>
        </w:tc>
      </w:tr>
      <w:tr w:rsidR="0078135B" w:rsidRPr="007A1B6A" w14:paraId="35AA5302" w14:textId="77777777" w:rsidTr="00C43620">
        <w:trPr>
          <w:trHeight w:val="264"/>
        </w:trPr>
        <w:tc>
          <w:tcPr>
            <w:tcW w:w="720" w:type="dxa"/>
            <w:tcBorders>
              <w:top w:val="single" w:sz="4" w:space="0" w:color="000000"/>
              <w:left w:val="single" w:sz="4" w:space="0" w:color="000000"/>
              <w:bottom w:val="single" w:sz="4" w:space="0" w:color="000000"/>
              <w:right w:val="single" w:sz="4" w:space="0" w:color="000000"/>
            </w:tcBorders>
            <w:hideMark/>
          </w:tcPr>
          <w:p w14:paraId="27FDE602" w14:textId="77777777" w:rsidR="0078135B" w:rsidRPr="007A1B6A" w:rsidRDefault="0078135B" w:rsidP="00C43620">
            <w:r w:rsidRPr="007A1B6A">
              <w:t xml:space="preserve">5 </w:t>
            </w:r>
          </w:p>
        </w:tc>
        <w:tc>
          <w:tcPr>
            <w:tcW w:w="5684" w:type="dxa"/>
            <w:tcBorders>
              <w:top w:val="single" w:sz="4" w:space="0" w:color="000000"/>
              <w:left w:val="single" w:sz="4" w:space="0" w:color="000000"/>
              <w:bottom w:val="single" w:sz="4" w:space="0" w:color="000000"/>
              <w:right w:val="single" w:sz="4" w:space="0" w:color="000000"/>
            </w:tcBorders>
            <w:hideMark/>
          </w:tcPr>
          <w:p w14:paraId="526D9B04" w14:textId="77777777" w:rsidR="0078135B" w:rsidRPr="007A1B6A" w:rsidRDefault="0078135B" w:rsidP="00C43620">
            <w:r>
              <w:t>Cost effectiveness and budget feasibility</w:t>
            </w:r>
          </w:p>
        </w:tc>
        <w:tc>
          <w:tcPr>
            <w:tcW w:w="3086" w:type="dxa"/>
            <w:tcBorders>
              <w:top w:val="single" w:sz="4" w:space="0" w:color="000000"/>
              <w:left w:val="single" w:sz="4" w:space="0" w:color="000000"/>
              <w:bottom w:val="single" w:sz="4" w:space="0" w:color="000000"/>
              <w:right w:val="single" w:sz="4" w:space="0" w:color="000000"/>
            </w:tcBorders>
            <w:hideMark/>
          </w:tcPr>
          <w:p w14:paraId="51E0BC72" w14:textId="77777777" w:rsidR="0078135B" w:rsidRPr="007A1B6A" w:rsidRDefault="0078135B" w:rsidP="00C43620">
            <w:pPr>
              <w:jc w:val="center"/>
            </w:pPr>
            <w:r w:rsidRPr="00702420">
              <w:t>15</w:t>
            </w:r>
          </w:p>
        </w:tc>
      </w:tr>
      <w:tr w:rsidR="0078135B" w:rsidRPr="007A1B6A" w14:paraId="43F085BC" w14:textId="77777777" w:rsidTr="00C43620">
        <w:trPr>
          <w:trHeight w:val="264"/>
        </w:trPr>
        <w:tc>
          <w:tcPr>
            <w:tcW w:w="720" w:type="dxa"/>
            <w:tcBorders>
              <w:top w:val="single" w:sz="4" w:space="0" w:color="000000"/>
              <w:left w:val="single" w:sz="4" w:space="0" w:color="000000"/>
              <w:bottom w:val="single" w:sz="4" w:space="0" w:color="000000"/>
              <w:right w:val="single" w:sz="4" w:space="0" w:color="000000"/>
            </w:tcBorders>
          </w:tcPr>
          <w:p w14:paraId="623F3549" w14:textId="77777777" w:rsidR="0078135B" w:rsidRPr="007A1B6A" w:rsidRDefault="0078135B" w:rsidP="00C43620">
            <w:r>
              <w:t>6</w:t>
            </w:r>
          </w:p>
        </w:tc>
        <w:tc>
          <w:tcPr>
            <w:tcW w:w="5684" w:type="dxa"/>
            <w:tcBorders>
              <w:top w:val="single" w:sz="4" w:space="0" w:color="000000"/>
              <w:left w:val="single" w:sz="4" w:space="0" w:color="000000"/>
              <w:bottom w:val="single" w:sz="4" w:space="0" w:color="000000"/>
              <w:right w:val="single" w:sz="4" w:space="0" w:color="000000"/>
            </w:tcBorders>
          </w:tcPr>
          <w:p w14:paraId="2DEC2F40" w14:textId="77777777" w:rsidR="0078135B" w:rsidRDefault="0078135B" w:rsidP="00C43620">
            <w:r>
              <w:t>Sustainability strategy</w:t>
            </w:r>
          </w:p>
        </w:tc>
        <w:tc>
          <w:tcPr>
            <w:tcW w:w="3086" w:type="dxa"/>
            <w:tcBorders>
              <w:top w:val="single" w:sz="4" w:space="0" w:color="000000"/>
              <w:left w:val="single" w:sz="4" w:space="0" w:color="000000"/>
              <w:bottom w:val="single" w:sz="4" w:space="0" w:color="000000"/>
              <w:right w:val="single" w:sz="4" w:space="0" w:color="000000"/>
            </w:tcBorders>
          </w:tcPr>
          <w:p w14:paraId="58DD7C25" w14:textId="77777777" w:rsidR="0078135B" w:rsidRPr="00702420" w:rsidRDefault="0078135B" w:rsidP="00C43620">
            <w:pPr>
              <w:jc w:val="center"/>
            </w:pPr>
            <w:r w:rsidRPr="00702420">
              <w:t>10</w:t>
            </w:r>
          </w:p>
        </w:tc>
      </w:tr>
      <w:tr w:rsidR="0078135B" w:rsidRPr="007A1B6A" w14:paraId="73C02DF4" w14:textId="77777777" w:rsidTr="00C43620">
        <w:trPr>
          <w:trHeight w:val="264"/>
        </w:trPr>
        <w:tc>
          <w:tcPr>
            <w:tcW w:w="720" w:type="dxa"/>
            <w:tcBorders>
              <w:top w:val="single" w:sz="4" w:space="0" w:color="000000"/>
              <w:left w:val="single" w:sz="4" w:space="0" w:color="000000"/>
              <w:bottom w:val="single" w:sz="4" w:space="0" w:color="000000"/>
              <w:right w:val="single" w:sz="4" w:space="0" w:color="000000"/>
            </w:tcBorders>
          </w:tcPr>
          <w:p w14:paraId="7D476585" w14:textId="77777777" w:rsidR="0078135B" w:rsidRDefault="0078135B" w:rsidP="00C43620">
            <w:r>
              <w:t>7</w:t>
            </w:r>
          </w:p>
        </w:tc>
        <w:tc>
          <w:tcPr>
            <w:tcW w:w="5684" w:type="dxa"/>
            <w:tcBorders>
              <w:top w:val="single" w:sz="4" w:space="0" w:color="000000"/>
              <w:left w:val="single" w:sz="4" w:space="0" w:color="000000"/>
              <w:bottom w:val="single" w:sz="4" w:space="0" w:color="000000"/>
              <w:right w:val="single" w:sz="4" w:space="0" w:color="000000"/>
            </w:tcBorders>
          </w:tcPr>
          <w:p w14:paraId="370E928F" w14:textId="77777777" w:rsidR="0078135B" w:rsidRDefault="0078135B" w:rsidP="00C43620">
            <w:r>
              <w:t>Added value and innovation</w:t>
            </w:r>
          </w:p>
        </w:tc>
        <w:tc>
          <w:tcPr>
            <w:tcW w:w="3086" w:type="dxa"/>
            <w:tcBorders>
              <w:top w:val="single" w:sz="4" w:space="0" w:color="000000"/>
              <w:left w:val="single" w:sz="4" w:space="0" w:color="000000"/>
              <w:bottom w:val="single" w:sz="4" w:space="0" w:color="000000"/>
              <w:right w:val="single" w:sz="4" w:space="0" w:color="000000"/>
            </w:tcBorders>
          </w:tcPr>
          <w:p w14:paraId="45193983" w14:textId="77777777" w:rsidR="0078135B" w:rsidRPr="00702420" w:rsidRDefault="0078135B" w:rsidP="00C43620">
            <w:pPr>
              <w:jc w:val="center"/>
            </w:pPr>
            <w:r w:rsidRPr="00702420">
              <w:t>15</w:t>
            </w:r>
          </w:p>
        </w:tc>
      </w:tr>
      <w:tr w:rsidR="0078135B" w:rsidRPr="007A1B6A" w14:paraId="1C02C138" w14:textId="77777777" w:rsidTr="00C43620">
        <w:trPr>
          <w:trHeight w:val="264"/>
        </w:trPr>
        <w:tc>
          <w:tcPr>
            <w:tcW w:w="720" w:type="dxa"/>
            <w:tcBorders>
              <w:top w:val="single" w:sz="4" w:space="0" w:color="000000"/>
              <w:left w:val="single" w:sz="4" w:space="0" w:color="000000"/>
              <w:bottom w:val="single" w:sz="4" w:space="0" w:color="000000"/>
              <w:right w:val="single" w:sz="4" w:space="0" w:color="000000"/>
            </w:tcBorders>
            <w:hideMark/>
          </w:tcPr>
          <w:p w14:paraId="2EAFE1E7" w14:textId="77777777" w:rsidR="0078135B" w:rsidRPr="007A1B6A" w:rsidRDefault="0078135B" w:rsidP="00C43620">
            <w:r w:rsidRPr="007A1B6A">
              <w:t xml:space="preserve"> </w:t>
            </w:r>
          </w:p>
        </w:tc>
        <w:tc>
          <w:tcPr>
            <w:tcW w:w="5684" w:type="dxa"/>
            <w:tcBorders>
              <w:top w:val="single" w:sz="4" w:space="0" w:color="000000"/>
              <w:left w:val="single" w:sz="4" w:space="0" w:color="000000"/>
              <w:bottom w:val="single" w:sz="4" w:space="0" w:color="000000"/>
              <w:right w:val="single" w:sz="4" w:space="0" w:color="000000"/>
            </w:tcBorders>
            <w:hideMark/>
          </w:tcPr>
          <w:p w14:paraId="2C7A22ED" w14:textId="77777777" w:rsidR="0078135B" w:rsidRPr="007A1B6A" w:rsidRDefault="0078135B" w:rsidP="00C43620">
            <w:r w:rsidRPr="00702420">
              <w:t xml:space="preserve">Total </w:t>
            </w:r>
          </w:p>
        </w:tc>
        <w:tc>
          <w:tcPr>
            <w:tcW w:w="3086" w:type="dxa"/>
            <w:tcBorders>
              <w:top w:val="single" w:sz="4" w:space="0" w:color="000000"/>
              <w:left w:val="single" w:sz="4" w:space="0" w:color="000000"/>
              <w:bottom w:val="single" w:sz="4" w:space="0" w:color="000000"/>
              <w:right w:val="single" w:sz="4" w:space="0" w:color="000000"/>
            </w:tcBorders>
            <w:hideMark/>
          </w:tcPr>
          <w:p w14:paraId="649AA6ED" w14:textId="77777777" w:rsidR="0078135B" w:rsidRPr="007A1B6A" w:rsidRDefault="0078135B" w:rsidP="00C43620">
            <w:pPr>
              <w:jc w:val="center"/>
            </w:pPr>
            <w:r w:rsidRPr="00702420">
              <w:t xml:space="preserve">100 </w:t>
            </w:r>
          </w:p>
        </w:tc>
      </w:tr>
    </w:tbl>
    <w:p w14:paraId="306A4BB5" w14:textId="31C16261" w:rsidR="00A31FF4" w:rsidRPr="00A57FA6" w:rsidRDefault="00A31FF4" w:rsidP="00A31FF4">
      <w:pPr>
        <w:jc w:val="both"/>
      </w:pPr>
      <w:r w:rsidRPr="00A57FA6">
        <w:lastRenderedPageBreak/>
        <w:t xml:space="preserve">The </w:t>
      </w:r>
      <w:r w:rsidRPr="00A57FA6">
        <w:rPr>
          <w:b/>
          <w:bCs/>
          <w:u w:val="single"/>
        </w:rPr>
        <w:t>selection committee</w:t>
      </w:r>
      <w:r w:rsidRPr="00A57FA6">
        <w:t xml:space="preserve"> for the Small Grants Scheme will oversee the evaluation and awarding process. </w:t>
      </w:r>
      <w:r>
        <w:t xml:space="preserve">It would compose of </w:t>
      </w:r>
      <w:r w:rsidRPr="00A31FF4">
        <w:t>Independent Turkish assessors with expertise in human rights, criminal justice, and civil society engagement</w:t>
      </w:r>
      <w:r>
        <w:t xml:space="preserve"> and r</w:t>
      </w:r>
      <w:r w:rsidRPr="00A57FA6">
        <w:t>epresentative</w:t>
      </w:r>
      <w:r>
        <w:t>s</w:t>
      </w:r>
      <w:r w:rsidRPr="00A57FA6">
        <w:t xml:space="preserve"> from Penal Reform International (PRI) and CISST, providing technical oversight.</w:t>
      </w:r>
      <w:r w:rsidRPr="00A57FA6">
        <w:rPr>
          <w:color w:val="000000" w:themeColor="text1"/>
        </w:rPr>
        <w:t xml:space="preserve"> </w:t>
      </w:r>
      <w:r w:rsidRPr="007A1B6A">
        <w:rPr>
          <w:color w:val="000000" w:themeColor="text1"/>
        </w:rPr>
        <w:t>The process will be guided by good governance principles, including transparency.</w:t>
      </w:r>
    </w:p>
    <w:p w14:paraId="7AA4308C" w14:textId="3B4A2EDF" w:rsidR="0078135B" w:rsidRPr="00A31FF4" w:rsidRDefault="00A31FF4" w:rsidP="00A31FF4">
      <w:pPr>
        <w:jc w:val="both"/>
        <w:rPr>
          <w:color w:val="000000" w:themeColor="text1"/>
        </w:rPr>
      </w:pPr>
      <w:r w:rsidRPr="00DA015B">
        <w:rPr>
          <w:b/>
          <w:bCs/>
          <w:color w:val="000000" w:themeColor="text1"/>
        </w:rPr>
        <w:t>7 grants</w:t>
      </w:r>
      <w:r>
        <w:rPr>
          <w:color w:val="000000" w:themeColor="text1"/>
        </w:rPr>
        <w:t xml:space="preserve"> will be awarded. Selected entities will be required to submit quarterly narrative and financial reports</w:t>
      </w:r>
      <w:r w:rsidR="00487D4D">
        <w:rPr>
          <w:color w:val="000000" w:themeColor="text1"/>
        </w:rPr>
        <w:t xml:space="preserve"> (backed up with supporting documentation)</w:t>
      </w:r>
      <w:r>
        <w:rPr>
          <w:color w:val="000000" w:themeColor="text1"/>
        </w:rPr>
        <w:t xml:space="preserve"> to PRI. Reporting should be made in English.</w:t>
      </w:r>
      <w:r w:rsidRPr="007A1B6A">
        <w:rPr>
          <w:color w:val="000000" w:themeColor="text1"/>
        </w:rPr>
        <w:t xml:space="preserve"> </w:t>
      </w:r>
    </w:p>
    <w:p w14:paraId="02159B5B" w14:textId="6ECC5521" w:rsidR="00FE43D9" w:rsidRPr="00FE43D9" w:rsidRDefault="00FE43D9" w:rsidP="00FE43D9">
      <w:pPr>
        <w:jc w:val="both"/>
      </w:pPr>
    </w:p>
    <w:p w14:paraId="11F5B01A" w14:textId="77777777" w:rsidR="00FE43D9" w:rsidRPr="00FE43D9" w:rsidRDefault="00FE43D9" w:rsidP="00A31FF4">
      <w:pPr>
        <w:pBdr>
          <w:top w:val="single" w:sz="4" w:space="1" w:color="auto"/>
          <w:left w:val="single" w:sz="4" w:space="4" w:color="auto"/>
          <w:bottom w:val="single" w:sz="4" w:space="1" w:color="auto"/>
          <w:right w:val="single" w:sz="4" w:space="4" w:color="auto"/>
        </w:pBdr>
        <w:jc w:val="both"/>
        <w:rPr>
          <w:b/>
          <w:bCs/>
        </w:rPr>
      </w:pPr>
      <w:r w:rsidRPr="00FE43D9">
        <w:rPr>
          <w:b/>
          <w:bCs/>
        </w:rPr>
        <w:t>Financial Guidelines</w:t>
      </w:r>
    </w:p>
    <w:p w14:paraId="19719836" w14:textId="77777777" w:rsidR="00FE43D9" w:rsidRPr="00FE43D9" w:rsidRDefault="00FE43D9" w:rsidP="00FE43D9">
      <w:pPr>
        <w:numPr>
          <w:ilvl w:val="0"/>
          <w:numId w:val="7"/>
        </w:numPr>
        <w:jc w:val="both"/>
      </w:pPr>
      <w:r w:rsidRPr="00FE43D9">
        <w:rPr>
          <w:b/>
          <w:bCs/>
        </w:rPr>
        <w:t>Grant Amount:</w:t>
      </w:r>
      <w:r w:rsidRPr="00FE43D9">
        <w:t xml:space="preserve"> €5,000 to €20,000.</w:t>
      </w:r>
    </w:p>
    <w:p w14:paraId="35E91407" w14:textId="77777777" w:rsidR="00FE43D9" w:rsidRDefault="00FE43D9" w:rsidP="00FE43D9">
      <w:pPr>
        <w:numPr>
          <w:ilvl w:val="0"/>
          <w:numId w:val="7"/>
        </w:numPr>
        <w:jc w:val="both"/>
      </w:pPr>
      <w:r w:rsidRPr="00FE43D9">
        <w:rPr>
          <w:b/>
          <w:bCs/>
        </w:rPr>
        <w:t>Project Duration:</w:t>
      </w:r>
      <w:r w:rsidRPr="00FE43D9">
        <w:t xml:space="preserve"> 12 to 24 months.</w:t>
      </w:r>
    </w:p>
    <w:p w14:paraId="2B41C54B" w14:textId="063266F6" w:rsidR="0078135B" w:rsidRPr="00FE43D9" w:rsidRDefault="00000000" w:rsidP="0078135B">
      <w:pPr>
        <w:ind w:left="720"/>
        <w:jc w:val="both"/>
      </w:pPr>
      <w:r>
        <w:pict w14:anchorId="153AA757">
          <v:rect id="_x0000_i1027" style="width:0;height:1.5pt" o:hralign="center" o:hrstd="t" o:hr="t" fillcolor="#a0a0a0" stroked="f"/>
        </w:pict>
      </w:r>
    </w:p>
    <w:p w14:paraId="5169AA84" w14:textId="4BD89CD8" w:rsidR="0078135B" w:rsidRPr="0078135B" w:rsidRDefault="0078135B" w:rsidP="0078135B">
      <w:pPr>
        <w:pStyle w:val="ListParagraph"/>
        <w:numPr>
          <w:ilvl w:val="0"/>
          <w:numId w:val="7"/>
        </w:numPr>
        <w:jc w:val="both"/>
        <w:rPr>
          <w:b/>
          <w:bCs/>
        </w:rPr>
      </w:pPr>
      <w:r w:rsidRPr="0078135B">
        <w:rPr>
          <w:b/>
          <w:bCs/>
        </w:rPr>
        <w:t>Eligible Costs</w:t>
      </w:r>
      <w:r>
        <w:rPr>
          <w:b/>
          <w:bCs/>
        </w:rPr>
        <w:t xml:space="preserve">: </w:t>
      </w:r>
      <w:r w:rsidRPr="0078135B">
        <w:t>must be</w:t>
      </w:r>
    </w:p>
    <w:p w14:paraId="13C5C484" w14:textId="77777777" w:rsidR="0078135B" w:rsidRPr="00B43EF8" w:rsidRDefault="0078135B" w:rsidP="0078135B">
      <w:pPr>
        <w:numPr>
          <w:ilvl w:val="0"/>
          <w:numId w:val="17"/>
        </w:numPr>
        <w:jc w:val="both"/>
      </w:pPr>
      <w:r w:rsidRPr="00B43EF8">
        <w:t>Directly Related to the Action: Costs should arise from activities specified in the approved project.</w:t>
      </w:r>
    </w:p>
    <w:p w14:paraId="2510A6D0" w14:textId="77777777" w:rsidR="0078135B" w:rsidRPr="00B43EF8" w:rsidRDefault="0078135B" w:rsidP="0078135B">
      <w:pPr>
        <w:numPr>
          <w:ilvl w:val="0"/>
          <w:numId w:val="17"/>
        </w:numPr>
        <w:jc w:val="both"/>
      </w:pPr>
      <w:r w:rsidRPr="00B43EF8">
        <w:t>Incurred During the Project Period: Expenses must occur within the implementation timeframe.</w:t>
      </w:r>
    </w:p>
    <w:p w14:paraId="0ADC4F82" w14:textId="77777777" w:rsidR="0078135B" w:rsidRPr="00B43EF8" w:rsidRDefault="0078135B" w:rsidP="0078135B">
      <w:pPr>
        <w:numPr>
          <w:ilvl w:val="0"/>
          <w:numId w:val="17"/>
        </w:numPr>
        <w:jc w:val="both"/>
      </w:pPr>
      <w:r w:rsidRPr="00B43EF8">
        <w:t>Identifiable and Verifiable: Documented and recorded according to accounting standards and applicable tax legislation.</w:t>
      </w:r>
    </w:p>
    <w:p w14:paraId="40E2EED1" w14:textId="77777777" w:rsidR="0078135B" w:rsidRPr="00B43EF8" w:rsidRDefault="0078135B" w:rsidP="0078135B">
      <w:pPr>
        <w:numPr>
          <w:ilvl w:val="0"/>
          <w:numId w:val="17"/>
        </w:numPr>
        <w:jc w:val="both"/>
      </w:pPr>
      <w:r w:rsidRPr="00B43EF8">
        <w:t>Reasonable and Justified: Aligned with sound financial management principles.</w:t>
      </w:r>
    </w:p>
    <w:p w14:paraId="212A09C2" w14:textId="77777777" w:rsidR="0033165F" w:rsidRDefault="0033165F" w:rsidP="0078135B">
      <w:pPr>
        <w:ind w:firstLine="720"/>
        <w:jc w:val="both"/>
        <w:rPr>
          <w:b/>
          <w:bCs/>
        </w:rPr>
      </w:pPr>
    </w:p>
    <w:p w14:paraId="5CF0916E" w14:textId="7E1906E2" w:rsidR="0078135B" w:rsidRPr="00B43EF8" w:rsidRDefault="0078135B" w:rsidP="0078135B">
      <w:pPr>
        <w:ind w:firstLine="720"/>
        <w:jc w:val="both"/>
        <w:rPr>
          <w:b/>
          <w:bCs/>
        </w:rPr>
      </w:pPr>
      <w:r w:rsidRPr="00B43EF8">
        <w:rPr>
          <w:b/>
          <w:bCs/>
        </w:rPr>
        <w:t>Examples of Eligible Costs:</w:t>
      </w:r>
    </w:p>
    <w:p w14:paraId="14080A12" w14:textId="77777777" w:rsidR="0078135B" w:rsidRPr="00B43EF8" w:rsidRDefault="0078135B" w:rsidP="0078135B">
      <w:pPr>
        <w:numPr>
          <w:ilvl w:val="0"/>
          <w:numId w:val="18"/>
        </w:numPr>
        <w:jc w:val="both"/>
      </w:pPr>
      <w:r w:rsidRPr="00B43EF8">
        <w:t>Staff salaries directly involved in the action.</w:t>
      </w:r>
    </w:p>
    <w:p w14:paraId="1377179A" w14:textId="77777777" w:rsidR="0078135B" w:rsidRPr="00B43EF8" w:rsidRDefault="0078135B" w:rsidP="0078135B">
      <w:pPr>
        <w:numPr>
          <w:ilvl w:val="0"/>
          <w:numId w:val="18"/>
        </w:numPr>
        <w:jc w:val="both"/>
      </w:pPr>
      <w:r w:rsidRPr="00B43EF8">
        <w:t>Travel and accommodation costs for project-related activities.</w:t>
      </w:r>
    </w:p>
    <w:p w14:paraId="5AD13839" w14:textId="77777777" w:rsidR="0078135B" w:rsidRPr="00B43EF8" w:rsidRDefault="0078135B" w:rsidP="0078135B">
      <w:pPr>
        <w:numPr>
          <w:ilvl w:val="0"/>
          <w:numId w:val="18"/>
        </w:numPr>
        <w:jc w:val="both"/>
      </w:pPr>
      <w:r w:rsidRPr="00B43EF8">
        <w:t>Costs of equipment and supplies (purchase, rental, or depreciation).</w:t>
      </w:r>
    </w:p>
    <w:p w14:paraId="2766D546" w14:textId="77777777" w:rsidR="0078135B" w:rsidRPr="00B43EF8" w:rsidRDefault="0078135B" w:rsidP="0078135B">
      <w:pPr>
        <w:numPr>
          <w:ilvl w:val="0"/>
          <w:numId w:val="18"/>
        </w:numPr>
        <w:jc w:val="both"/>
      </w:pPr>
      <w:r w:rsidRPr="00B43EF8">
        <w:t>Office and communication expenses related to the project.</w:t>
      </w:r>
    </w:p>
    <w:p w14:paraId="2F10ADDB" w14:textId="77777777" w:rsidR="0078135B" w:rsidRPr="00B43EF8" w:rsidRDefault="0078135B" w:rsidP="0078135B">
      <w:pPr>
        <w:numPr>
          <w:ilvl w:val="0"/>
          <w:numId w:val="18"/>
        </w:numPr>
        <w:jc w:val="both"/>
      </w:pPr>
      <w:r w:rsidRPr="00B43EF8">
        <w:t>Expenses for publications, translations, audits, and evaluations.</w:t>
      </w:r>
    </w:p>
    <w:p w14:paraId="2DEA72B7" w14:textId="77777777" w:rsidR="0078135B" w:rsidRPr="00B43EF8" w:rsidRDefault="0078135B" w:rsidP="0078135B">
      <w:pPr>
        <w:numPr>
          <w:ilvl w:val="0"/>
          <w:numId w:val="18"/>
        </w:numPr>
        <w:jc w:val="both"/>
      </w:pPr>
      <w:r w:rsidRPr="00B43EF8">
        <w:t>Venue rental and materials for events or workshops.</w:t>
      </w:r>
    </w:p>
    <w:p w14:paraId="163FAD40" w14:textId="77777777" w:rsidR="0078135B" w:rsidRPr="00B43EF8" w:rsidRDefault="0078135B" w:rsidP="0078135B">
      <w:pPr>
        <w:numPr>
          <w:ilvl w:val="0"/>
          <w:numId w:val="18"/>
        </w:numPr>
        <w:jc w:val="both"/>
      </w:pPr>
      <w:r w:rsidRPr="00B43EF8">
        <w:t>Fees for legal, research, or counseling services.</w:t>
      </w:r>
    </w:p>
    <w:p w14:paraId="23E630C4" w14:textId="77777777" w:rsidR="0078135B" w:rsidRPr="00B43EF8" w:rsidRDefault="0078135B" w:rsidP="0078135B">
      <w:pPr>
        <w:numPr>
          <w:ilvl w:val="0"/>
          <w:numId w:val="18"/>
        </w:numPr>
        <w:jc w:val="both"/>
      </w:pPr>
      <w:r w:rsidRPr="00B43EF8">
        <w:t>Overheads and project management costs.</w:t>
      </w:r>
    </w:p>
    <w:p w14:paraId="50E991BD" w14:textId="04CA9202" w:rsidR="0078135B" w:rsidRPr="00B43EF8" w:rsidRDefault="00000000" w:rsidP="0078135B">
      <w:pPr>
        <w:ind w:left="864"/>
        <w:jc w:val="both"/>
        <w:rPr>
          <w:b/>
          <w:bCs/>
        </w:rPr>
      </w:pPr>
      <w:r>
        <w:pict w14:anchorId="56A4A13D">
          <v:rect id="_x0000_i1028" style="width:0;height:1.5pt" o:hralign="center" o:hrstd="t" o:hr="t" fillcolor="#a0a0a0" stroked="f"/>
        </w:pict>
      </w:r>
    </w:p>
    <w:p w14:paraId="3DC1C184" w14:textId="402BB0B5" w:rsidR="0078135B" w:rsidRPr="0078135B" w:rsidRDefault="0078135B" w:rsidP="0078135B">
      <w:pPr>
        <w:pStyle w:val="ListParagraph"/>
        <w:numPr>
          <w:ilvl w:val="0"/>
          <w:numId w:val="18"/>
        </w:numPr>
        <w:jc w:val="both"/>
        <w:rPr>
          <w:b/>
          <w:bCs/>
        </w:rPr>
      </w:pPr>
      <w:r w:rsidRPr="0078135B">
        <w:rPr>
          <w:b/>
          <w:bCs/>
        </w:rPr>
        <w:lastRenderedPageBreak/>
        <w:t>Non-Eligible Costs</w:t>
      </w:r>
      <w:r>
        <w:rPr>
          <w:b/>
          <w:bCs/>
        </w:rPr>
        <w:t xml:space="preserve">: </w:t>
      </w:r>
      <w:r w:rsidRPr="00B43EF8">
        <w:t>Certain expenses are not reimbursable under this scheme, including:</w:t>
      </w:r>
    </w:p>
    <w:p w14:paraId="4D29B1C1" w14:textId="77777777" w:rsidR="0078135B" w:rsidRPr="00B43EF8" w:rsidRDefault="0078135B" w:rsidP="00E87CF7">
      <w:pPr>
        <w:numPr>
          <w:ilvl w:val="0"/>
          <w:numId w:val="17"/>
        </w:numPr>
        <w:jc w:val="both"/>
      </w:pPr>
      <w:r w:rsidRPr="00B43EF8">
        <w:t>Debts and debt service charges.</w:t>
      </w:r>
    </w:p>
    <w:p w14:paraId="539519EB" w14:textId="77777777" w:rsidR="0078135B" w:rsidRPr="00B43EF8" w:rsidRDefault="0078135B" w:rsidP="00E87CF7">
      <w:pPr>
        <w:numPr>
          <w:ilvl w:val="0"/>
          <w:numId w:val="17"/>
        </w:numPr>
        <w:jc w:val="both"/>
      </w:pPr>
      <w:r w:rsidRPr="00B43EF8">
        <w:t>Provisions for losses or future liabilities.</w:t>
      </w:r>
    </w:p>
    <w:p w14:paraId="1A10404A" w14:textId="77777777" w:rsidR="0078135B" w:rsidRPr="00B43EF8" w:rsidRDefault="0078135B" w:rsidP="00E87CF7">
      <w:pPr>
        <w:numPr>
          <w:ilvl w:val="0"/>
          <w:numId w:val="17"/>
        </w:numPr>
        <w:jc w:val="both"/>
      </w:pPr>
      <w:r w:rsidRPr="00B43EF8">
        <w:t>Costs already financed by other EU grants.</w:t>
      </w:r>
    </w:p>
    <w:p w14:paraId="7C7F0A48" w14:textId="77777777" w:rsidR="0078135B" w:rsidRPr="00B43EF8" w:rsidRDefault="0078135B" w:rsidP="00E87CF7">
      <w:pPr>
        <w:numPr>
          <w:ilvl w:val="0"/>
          <w:numId w:val="17"/>
        </w:numPr>
        <w:jc w:val="both"/>
      </w:pPr>
      <w:r w:rsidRPr="00B43EF8">
        <w:t>Land or property purchases (with exceptions).</w:t>
      </w:r>
    </w:p>
    <w:p w14:paraId="30BA5D39" w14:textId="77777777" w:rsidR="0078135B" w:rsidRPr="00B43EF8" w:rsidRDefault="0078135B" w:rsidP="00E87CF7">
      <w:pPr>
        <w:numPr>
          <w:ilvl w:val="0"/>
          <w:numId w:val="17"/>
        </w:numPr>
        <w:jc w:val="both"/>
      </w:pPr>
      <w:r w:rsidRPr="00B43EF8">
        <w:t>Currency exchange losses.</w:t>
      </w:r>
    </w:p>
    <w:p w14:paraId="7897314A" w14:textId="77777777" w:rsidR="0078135B" w:rsidRPr="00B43EF8" w:rsidRDefault="0078135B" w:rsidP="00E87CF7">
      <w:pPr>
        <w:numPr>
          <w:ilvl w:val="0"/>
          <w:numId w:val="17"/>
        </w:numPr>
        <w:jc w:val="both"/>
      </w:pPr>
      <w:r w:rsidRPr="00B43EF8">
        <w:t>Contributions in-kind, except for volunteer work.</w:t>
      </w:r>
    </w:p>
    <w:p w14:paraId="5B4ADF10" w14:textId="77777777" w:rsidR="0078135B" w:rsidRPr="00B43EF8" w:rsidRDefault="0078135B" w:rsidP="00E87CF7">
      <w:pPr>
        <w:numPr>
          <w:ilvl w:val="0"/>
          <w:numId w:val="17"/>
        </w:numPr>
        <w:jc w:val="both"/>
      </w:pPr>
      <w:r w:rsidRPr="00B43EF8">
        <w:t>Bonuses or additional payments to staff not directly related to the action.</w:t>
      </w:r>
    </w:p>
    <w:p w14:paraId="625C5A54" w14:textId="77777777" w:rsidR="0078135B" w:rsidRPr="00B43EF8" w:rsidRDefault="0078135B" w:rsidP="00E87CF7">
      <w:pPr>
        <w:numPr>
          <w:ilvl w:val="0"/>
          <w:numId w:val="17"/>
        </w:numPr>
        <w:jc w:val="both"/>
      </w:pPr>
      <w:r w:rsidRPr="00B43EF8">
        <w:t>Negative interest charges by banks.</w:t>
      </w:r>
    </w:p>
    <w:p w14:paraId="133F0126" w14:textId="77777777" w:rsidR="00C86D90" w:rsidRDefault="00C86D90" w:rsidP="0078135B">
      <w:pPr>
        <w:jc w:val="both"/>
      </w:pPr>
    </w:p>
    <w:p w14:paraId="0C02297A" w14:textId="5C03A788" w:rsidR="0078135B" w:rsidRPr="00B43EF8" w:rsidRDefault="0078135B" w:rsidP="0078135B">
      <w:pPr>
        <w:jc w:val="both"/>
      </w:pPr>
      <w:r w:rsidRPr="00B43EF8">
        <w:t>By adhering to these guidelines, applicants can ensure their proposals align with the program’s requirements and maximize their potential for successful funding.</w:t>
      </w:r>
    </w:p>
    <w:p w14:paraId="044BD8E6" w14:textId="2FEACBA0" w:rsidR="00FE43D9" w:rsidRPr="00FE43D9" w:rsidRDefault="00FE43D9" w:rsidP="00FE43D9">
      <w:pPr>
        <w:jc w:val="both"/>
      </w:pPr>
    </w:p>
    <w:p w14:paraId="6CCC9EAF" w14:textId="77777777" w:rsidR="00FE43D9" w:rsidRPr="00FE43D9" w:rsidRDefault="00FE43D9" w:rsidP="00A31FF4">
      <w:pPr>
        <w:pBdr>
          <w:top w:val="single" w:sz="4" w:space="1" w:color="auto"/>
          <w:left w:val="single" w:sz="4" w:space="4" w:color="auto"/>
          <w:bottom w:val="single" w:sz="4" w:space="1" w:color="auto"/>
          <w:right w:val="single" w:sz="4" w:space="4" w:color="auto"/>
        </w:pBdr>
        <w:jc w:val="both"/>
        <w:rPr>
          <w:b/>
          <w:bCs/>
        </w:rPr>
      </w:pPr>
      <w:r w:rsidRPr="00FE43D9">
        <w:rPr>
          <w:b/>
          <w:bCs/>
        </w:rPr>
        <w:t>Application Process</w:t>
      </w:r>
    </w:p>
    <w:p w14:paraId="2D6F9508" w14:textId="16256820" w:rsidR="00EC1E61" w:rsidRPr="00B11A1F" w:rsidRDefault="00FE43D9" w:rsidP="00FE43D9">
      <w:pPr>
        <w:numPr>
          <w:ilvl w:val="0"/>
          <w:numId w:val="8"/>
        </w:numPr>
        <w:jc w:val="both"/>
        <w:rPr>
          <w:b/>
          <w:bCs/>
        </w:rPr>
      </w:pPr>
      <w:r w:rsidRPr="00FE43D9">
        <w:t xml:space="preserve">Submit the concept note by </w:t>
      </w:r>
      <w:r w:rsidRPr="00B11A1F">
        <w:rPr>
          <w:b/>
          <w:bCs/>
        </w:rPr>
        <w:t>15 February 2025</w:t>
      </w:r>
      <w:r w:rsidR="00EC1E61" w:rsidRPr="00B11A1F">
        <w:rPr>
          <w:b/>
          <w:bCs/>
        </w:rPr>
        <w:t>.</w:t>
      </w:r>
    </w:p>
    <w:p w14:paraId="22049173" w14:textId="77777777" w:rsidR="00A57FA6" w:rsidRDefault="0078135B" w:rsidP="00A57FA6">
      <w:pPr>
        <w:ind w:left="720"/>
        <w:jc w:val="both"/>
      </w:pPr>
      <w:r w:rsidRPr="00EC1E61">
        <w:rPr>
          <w:u w:val="single"/>
        </w:rPr>
        <w:t>(Template is attached</w:t>
      </w:r>
      <w:r w:rsidR="00EC1E61" w:rsidRPr="00EC1E61">
        <w:rPr>
          <w:u w:val="single"/>
        </w:rPr>
        <w:t>; submitted paper should not be longer than 5 pages</w:t>
      </w:r>
      <w:r w:rsidRPr="00EC1E61">
        <w:rPr>
          <w:u w:val="single"/>
        </w:rPr>
        <w:t>)</w:t>
      </w:r>
      <w:r w:rsidR="00A57FA6" w:rsidRPr="00A57FA6">
        <w:t xml:space="preserve"> </w:t>
      </w:r>
    </w:p>
    <w:p w14:paraId="5830BCAF" w14:textId="21BB1AEC" w:rsidR="00A57FA6" w:rsidRDefault="00A57FA6" w:rsidP="00A57FA6">
      <w:pPr>
        <w:ind w:left="720"/>
        <w:jc w:val="both"/>
      </w:pPr>
      <w:r w:rsidRPr="00FE43D9">
        <w:t>Attachments Required</w:t>
      </w:r>
      <w:r>
        <w:t xml:space="preserve"> for stage I</w:t>
      </w:r>
      <w:r w:rsidRPr="00FE43D9">
        <w:t>:</w:t>
      </w:r>
    </w:p>
    <w:p w14:paraId="60C36628" w14:textId="77777777" w:rsidR="00A57FA6" w:rsidRDefault="00A57FA6" w:rsidP="00A57FA6">
      <w:pPr>
        <w:numPr>
          <w:ilvl w:val="1"/>
          <w:numId w:val="8"/>
        </w:numPr>
        <w:jc w:val="both"/>
      </w:pPr>
      <w:r w:rsidRPr="00FE43D9">
        <w:t>CVs of Project Team Members</w:t>
      </w:r>
    </w:p>
    <w:p w14:paraId="206CC768" w14:textId="196FD217" w:rsidR="00C30455" w:rsidRPr="00FE43D9" w:rsidRDefault="00F85D54" w:rsidP="00A57FA6">
      <w:pPr>
        <w:numPr>
          <w:ilvl w:val="1"/>
          <w:numId w:val="8"/>
        </w:numPr>
        <w:jc w:val="both"/>
      </w:pPr>
      <w:r>
        <w:t xml:space="preserve">Registration documents for the organization </w:t>
      </w:r>
    </w:p>
    <w:p w14:paraId="00F08315" w14:textId="4332EB8A" w:rsidR="00FE43D9" w:rsidRPr="00FE43D9" w:rsidRDefault="00FE43D9" w:rsidP="00EC1E61">
      <w:pPr>
        <w:ind w:left="720"/>
        <w:jc w:val="both"/>
        <w:rPr>
          <w:u w:val="single"/>
        </w:rPr>
      </w:pPr>
    </w:p>
    <w:p w14:paraId="25E17880" w14:textId="77777777" w:rsidR="00FE43D9" w:rsidRPr="00FE43D9" w:rsidRDefault="00FE43D9" w:rsidP="00FE43D9">
      <w:pPr>
        <w:numPr>
          <w:ilvl w:val="0"/>
          <w:numId w:val="8"/>
        </w:numPr>
        <w:jc w:val="both"/>
      </w:pPr>
      <w:r w:rsidRPr="00FE43D9">
        <w:t>Shortlisted applicants will be invited to submit full proposals by 31 March 2025.</w:t>
      </w:r>
    </w:p>
    <w:p w14:paraId="08F226AE" w14:textId="3F3180E0" w:rsidR="00EC1E61" w:rsidRDefault="00EC1E61" w:rsidP="00A57FA6">
      <w:pPr>
        <w:ind w:left="720"/>
        <w:jc w:val="both"/>
      </w:pPr>
      <w:r w:rsidRPr="00FE43D9">
        <w:t>Attachments Required</w:t>
      </w:r>
      <w:r>
        <w:t xml:space="preserve"> for stage II</w:t>
      </w:r>
      <w:r w:rsidRPr="00FE43D9">
        <w:t>:</w:t>
      </w:r>
    </w:p>
    <w:p w14:paraId="2BCB0780" w14:textId="6EAA6C42" w:rsidR="00A57FA6" w:rsidRDefault="00FE43D9" w:rsidP="00FE43D9">
      <w:pPr>
        <w:numPr>
          <w:ilvl w:val="1"/>
          <w:numId w:val="8"/>
        </w:numPr>
        <w:jc w:val="both"/>
      </w:pPr>
      <w:r w:rsidRPr="00FE43D9">
        <w:t>Budget</w:t>
      </w:r>
    </w:p>
    <w:p w14:paraId="5E4BBBBF" w14:textId="6DA18EAC" w:rsidR="00ED165A" w:rsidRDefault="00C30A56" w:rsidP="00FE43D9">
      <w:pPr>
        <w:numPr>
          <w:ilvl w:val="1"/>
          <w:numId w:val="8"/>
        </w:numPr>
        <w:jc w:val="both"/>
      </w:pPr>
      <w:r>
        <w:t>Audit report</w:t>
      </w:r>
      <w:r w:rsidR="00C73FBE">
        <w:t xml:space="preserve"> on the last similar project implemented</w:t>
      </w:r>
    </w:p>
    <w:p w14:paraId="2103DF41" w14:textId="77777777" w:rsidR="00A31FF4" w:rsidRDefault="00A31FF4" w:rsidP="00A31FF4">
      <w:pPr>
        <w:ind w:left="1440"/>
        <w:jc w:val="both"/>
      </w:pPr>
    </w:p>
    <w:p w14:paraId="6515C761" w14:textId="10BBB124" w:rsidR="00EC1E61" w:rsidRPr="00730CF8" w:rsidRDefault="00FE43D9" w:rsidP="00FE43D9">
      <w:pPr>
        <w:jc w:val="both"/>
        <w:rPr>
          <w:b/>
          <w:bCs/>
        </w:rPr>
      </w:pPr>
      <w:r w:rsidRPr="00FE43D9">
        <w:rPr>
          <w:b/>
          <w:bCs/>
        </w:rPr>
        <w:t>Submission Guidelines:</w:t>
      </w:r>
      <w:r w:rsidRPr="00FE43D9">
        <w:t xml:space="preserve"> Applications must be submitted electronically in English to the </w:t>
      </w:r>
      <w:r w:rsidR="00EC1E61">
        <w:t xml:space="preserve">following </w:t>
      </w:r>
      <w:r w:rsidRPr="00FE43D9">
        <w:t xml:space="preserve">email </w:t>
      </w:r>
      <w:r w:rsidR="00EC1E61" w:rsidRPr="00FE43D9">
        <w:t>address</w:t>
      </w:r>
      <w:r w:rsidR="00EC1E61">
        <w:t xml:space="preserve"> </w:t>
      </w:r>
      <w:r w:rsidR="00A418FB">
        <w:t xml:space="preserve">- </w:t>
      </w:r>
      <w:r w:rsidR="00A418FB" w:rsidRPr="00A418FB">
        <w:rPr>
          <w:color w:val="156082" w:themeColor="accent1"/>
        </w:rPr>
        <w:t>rightsinprison.tr@gmail.com.</w:t>
      </w:r>
      <w:r w:rsidRPr="00FE43D9">
        <w:t xml:space="preserve"> Questions regarding the call can be sent to the same email address </w:t>
      </w:r>
      <w:r w:rsidR="00EC1E61">
        <w:t xml:space="preserve">before </w:t>
      </w:r>
      <w:r w:rsidR="00EC1E61" w:rsidRPr="00B11A1F">
        <w:rPr>
          <w:b/>
          <w:bCs/>
        </w:rPr>
        <w:t>5 February</w:t>
      </w:r>
      <w:r w:rsidR="00EC1E61">
        <w:t xml:space="preserve"> </w:t>
      </w:r>
      <w:r w:rsidRPr="00FE43D9">
        <w:t xml:space="preserve">and will be addressed within five working days. </w:t>
      </w:r>
    </w:p>
    <w:p w14:paraId="601F476C" w14:textId="1A6663F7" w:rsidR="00FE43D9" w:rsidRPr="00FE43D9" w:rsidRDefault="00FE43D9" w:rsidP="00FE43D9">
      <w:pPr>
        <w:jc w:val="both"/>
      </w:pPr>
      <w:r w:rsidRPr="00FE43D9">
        <w:t>Incomplete or late applications will not be considered.</w:t>
      </w:r>
    </w:p>
    <w:p w14:paraId="2B03E5D5" w14:textId="77777777" w:rsidR="00FE43D9" w:rsidRPr="00FE43D9" w:rsidRDefault="00000000" w:rsidP="00FE43D9">
      <w:pPr>
        <w:jc w:val="both"/>
      </w:pPr>
      <w:r>
        <w:pict w14:anchorId="3C85F7CA">
          <v:rect id="_x0000_i1029" style="width:0;height:1.5pt" o:hralign="center" o:hrstd="t" o:hr="t" fillcolor="#a0a0a0" stroked="f"/>
        </w:pict>
      </w:r>
    </w:p>
    <w:p w14:paraId="4F94EFEC" w14:textId="77777777" w:rsidR="00FE43D9" w:rsidRPr="00FE43D9" w:rsidRDefault="00FE43D9" w:rsidP="00FE43D9">
      <w:pPr>
        <w:jc w:val="both"/>
      </w:pPr>
      <w:r w:rsidRPr="00FE43D9">
        <w:lastRenderedPageBreak/>
        <w:t>This call for proposals seeks to empower CSOs, particularly in remote and underserved regions, to address accountability gaps and promote human rights protections within Türkiye’s penitentiary system.</w:t>
      </w:r>
    </w:p>
    <w:p w14:paraId="4CA163A2" w14:textId="77777777" w:rsidR="00816F52" w:rsidRDefault="00816F52" w:rsidP="00FE43D9">
      <w:pPr>
        <w:jc w:val="both"/>
      </w:pPr>
    </w:p>
    <w:sectPr w:rsidR="00816F5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E4CEF" w14:textId="77777777" w:rsidR="00C95140" w:rsidRDefault="00C95140" w:rsidP="00CD616A">
      <w:pPr>
        <w:spacing w:after="0" w:line="240" w:lineRule="auto"/>
      </w:pPr>
      <w:r>
        <w:separator/>
      </w:r>
    </w:p>
  </w:endnote>
  <w:endnote w:type="continuationSeparator" w:id="0">
    <w:p w14:paraId="3D34EC2F" w14:textId="77777777" w:rsidR="00C95140" w:rsidRDefault="00C95140" w:rsidP="00CD6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2E7D4" w14:textId="77777777" w:rsidR="00C95140" w:rsidRDefault="00C95140" w:rsidP="00CD616A">
      <w:pPr>
        <w:spacing w:after="0" w:line="240" w:lineRule="auto"/>
      </w:pPr>
      <w:r>
        <w:separator/>
      </w:r>
    </w:p>
  </w:footnote>
  <w:footnote w:type="continuationSeparator" w:id="0">
    <w:p w14:paraId="523321B5" w14:textId="77777777" w:rsidR="00C95140" w:rsidRDefault="00C95140" w:rsidP="00CD6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9392230"/>
      <w:docPartObj>
        <w:docPartGallery w:val="Page Numbers (Top of Page)"/>
        <w:docPartUnique/>
      </w:docPartObj>
    </w:sdtPr>
    <w:sdtEndPr>
      <w:rPr>
        <w:noProof/>
      </w:rPr>
    </w:sdtEndPr>
    <w:sdtContent>
      <w:p w14:paraId="5B450132" w14:textId="41FB5E12" w:rsidR="00CD616A" w:rsidRDefault="00CD616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7409F45" w14:textId="77777777" w:rsidR="00CD616A" w:rsidRDefault="00CD6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751D"/>
    <w:multiLevelType w:val="multilevel"/>
    <w:tmpl w:val="62663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212BC"/>
    <w:multiLevelType w:val="multilevel"/>
    <w:tmpl w:val="69EA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92792C"/>
    <w:multiLevelType w:val="hybridMultilevel"/>
    <w:tmpl w:val="42CE3EEC"/>
    <w:lvl w:ilvl="0" w:tplc="72F80726">
      <w:start w:val="1"/>
      <w:numFmt w:val="decimal"/>
      <w:lvlText w:val="●"/>
      <w:lvlJc w:val="left"/>
      <w:pPr>
        <w:ind w:left="720" w:hanging="360"/>
      </w:pPr>
    </w:lvl>
    <w:lvl w:ilvl="1" w:tplc="85046C80">
      <w:start w:val="1"/>
      <w:numFmt w:val="lowerLetter"/>
      <w:lvlText w:val="%2."/>
      <w:lvlJc w:val="left"/>
      <w:pPr>
        <w:ind w:left="1440" w:hanging="360"/>
      </w:pPr>
    </w:lvl>
    <w:lvl w:ilvl="2" w:tplc="D42A0FA2">
      <w:start w:val="1"/>
      <w:numFmt w:val="lowerRoman"/>
      <w:lvlText w:val="%3."/>
      <w:lvlJc w:val="right"/>
      <w:pPr>
        <w:ind w:left="2160" w:hanging="180"/>
      </w:pPr>
    </w:lvl>
    <w:lvl w:ilvl="3" w:tplc="079AE398">
      <w:start w:val="1"/>
      <w:numFmt w:val="decimal"/>
      <w:lvlText w:val="%4."/>
      <w:lvlJc w:val="left"/>
      <w:pPr>
        <w:ind w:left="2880" w:hanging="360"/>
      </w:pPr>
    </w:lvl>
    <w:lvl w:ilvl="4" w:tplc="00262E06">
      <w:start w:val="1"/>
      <w:numFmt w:val="lowerLetter"/>
      <w:lvlText w:val="%5."/>
      <w:lvlJc w:val="left"/>
      <w:pPr>
        <w:ind w:left="3600" w:hanging="360"/>
      </w:pPr>
    </w:lvl>
    <w:lvl w:ilvl="5" w:tplc="228CD79C">
      <w:start w:val="1"/>
      <w:numFmt w:val="lowerRoman"/>
      <w:lvlText w:val="%6."/>
      <w:lvlJc w:val="right"/>
      <w:pPr>
        <w:ind w:left="4320" w:hanging="180"/>
      </w:pPr>
    </w:lvl>
    <w:lvl w:ilvl="6" w:tplc="33801F40">
      <w:start w:val="1"/>
      <w:numFmt w:val="decimal"/>
      <w:lvlText w:val="%7."/>
      <w:lvlJc w:val="left"/>
      <w:pPr>
        <w:ind w:left="5040" w:hanging="360"/>
      </w:pPr>
    </w:lvl>
    <w:lvl w:ilvl="7" w:tplc="4B44F12C">
      <w:start w:val="1"/>
      <w:numFmt w:val="lowerLetter"/>
      <w:lvlText w:val="%8."/>
      <w:lvlJc w:val="left"/>
      <w:pPr>
        <w:ind w:left="5760" w:hanging="360"/>
      </w:pPr>
    </w:lvl>
    <w:lvl w:ilvl="8" w:tplc="AC886830">
      <w:start w:val="1"/>
      <w:numFmt w:val="lowerRoman"/>
      <w:lvlText w:val="%9."/>
      <w:lvlJc w:val="right"/>
      <w:pPr>
        <w:ind w:left="6480" w:hanging="180"/>
      </w:pPr>
    </w:lvl>
  </w:abstractNum>
  <w:abstractNum w:abstractNumId="3" w15:restartNumberingAfterBreak="0">
    <w:nsid w:val="2848194F"/>
    <w:multiLevelType w:val="multilevel"/>
    <w:tmpl w:val="4112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606A68"/>
    <w:multiLevelType w:val="multilevel"/>
    <w:tmpl w:val="CFAC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7D75EF"/>
    <w:multiLevelType w:val="multilevel"/>
    <w:tmpl w:val="2F2C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1046FC"/>
    <w:multiLevelType w:val="hybridMultilevel"/>
    <w:tmpl w:val="A6E2B39C"/>
    <w:lvl w:ilvl="0" w:tplc="08090001">
      <w:start w:val="1"/>
      <w:numFmt w:val="bullet"/>
      <w:lvlText w:val=""/>
      <w:lvlJc w:val="left"/>
      <w:pPr>
        <w:ind w:left="862" w:hanging="360"/>
      </w:pPr>
      <w:rPr>
        <w:rFonts w:ascii="Symbol" w:hAnsi="Symbol" w:hint="default"/>
      </w:rPr>
    </w:lvl>
    <w:lvl w:ilvl="1" w:tplc="08090003">
      <w:start w:val="1"/>
      <w:numFmt w:val="bullet"/>
      <w:lvlText w:val="o"/>
      <w:lvlJc w:val="left"/>
      <w:pPr>
        <w:ind w:left="1582" w:hanging="360"/>
      </w:pPr>
      <w:rPr>
        <w:rFonts w:ascii="Courier New" w:hAnsi="Courier New" w:cs="Courier New" w:hint="default"/>
      </w:rPr>
    </w:lvl>
    <w:lvl w:ilvl="2" w:tplc="08090005">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7" w15:restartNumberingAfterBreak="0">
    <w:nsid w:val="40780EA3"/>
    <w:multiLevelType w:val="multilevel"/>
    <w:tmpl w:val="84926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3206E4"/>
    <w:multiLevelType w:val="multilevel"/>
    <w:tmpl w:val="369C8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C435A4"/>
    <w:multiLevelType w:val="multilevel"/>
    <w:tmpl w:val="255A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3B5519"/>
    <w:multiLevelType w:val="hybridMultilevel"/>
    <w:tmpl w:val="5CF47218"/>
    <w:lvl w:ilvl="0" w:tplc="A7B0BF72">
      <w:start w:val="1"/>
      <w:numFmt w:val="decimal"/>
      <w:lvlText w:val="%1."/>
      <w:lvlJc w:val="left"/>
      <w:pPr>
        <w:ind w:left="720" w:hanging="360"/>
      </w:pPr>
    </w:lvl>
    <w:lvl w:ilvl="1" w:tplc="F51026BE">
      <w:start w:val="1"/>
      <w:numFmt w:val="lowerLetter"/>
      <w:lvlText w:val="%2."/>
      <w:lvlJc w:val="left"/>
      <w:pPr>
        <w:ind w:left="1440" w:hanging="360"/>
      </w:pPr>
    </w:lvl>
    <w:lvl w:ilvl="2" w:tplc="9230D1D4">
      <w:start w:val="1"/>
      <w:numFmt w:val="decimal"/>
      <w:lvlText w:val="▪"/>
      <w:lvlJc w:val="left"/>
      <w:pPr>
        <w:ind w:left="2160" w:hanging="180"/>
      </w:pPr>
    </w:lvl>
    <w:lvl w:ilvl="3" w:tplc="415E032A">
      <w:start w:val="1"/>
      <w:numFmt w:val="decimal"/>
      <w:lvlText w:val="%4."/>
      <w:lvlJc w:val="left"/>
      <w:pPr>
        <w:ind w:left="2880" w:hanging="360"/>
      </w:pPr>
    </w:lvl>
    <w:lvl w:ilvl="4" w:tplc="E5CA025E">
      <w:start w:val="1"/>
      <w:numFmt w:val="lowerLetter"/>
      <w:lvlText w:val="%5."/>
      <w:lvlJc w:val="left"/>
      <w:pPr>
        <w:ind w:left="3600" w:hanging="360"/>
      </w:pPr>
    </w:lvl>
    <w:lvl w:ilvl="5" w:tplc="46CA0D20">
      <w:start w:val="1"/>
      <w:numFmt w:val="lowerRoman"/>
      <w:lvlText w:val="%6."/>
      <w:lvlJc w:val="right"/>
      <w:pPr>
        <w:ind w:left="4320" w:hanging="180"/>
      </w:pPr>
    </w:lvl>
    <w:lvl w:ilvl="6" w:tplc="D6A06DEA">
      <w:start w:val="1"/>
      <w:numFmt w:val="decimal"/>
      <w:lvlText w:val="%7."/>
      <w:lvlJc w:val="left"/>
      <w:pPr>
        <w:ind w:left="5040" w:hanging="360"/>
      </w:pPr>
    </w:lvl>
    <w:lvl w:ilvl="7" w:tplc="41D05994">
      <w:start w:val="1"/>
      <w:numFmt w:val="lowerLetter"/>
      <w:lvlText w:val="%8."/>
      <w:lvlJc w:val="left"/>
      <w:pPr>
        <w:ind w:left="5760" w:hanging="360"/>
      </w:pPr>
    </w:lvl>
    <w:lvl w:ilvl="8" w:tplc="07221856">
      <w:start w:val="1"/>
      <w:numFmt w:val="lowerRoman"/>
      <w:lvlText w:val="%9."/>
      <w:lvlJc w:val="right"/>
      <w:pPr>
        <w:ind w:left="6480" w:hanging="180"/>
      </w:pPr>
    </w:lvl>
  </w:abstractNum>
  <w:abstractNum w:abstractNumId="11" w15:restartNumberingAfterBreak="0">
    <w:nsid w:val="580F0D25"/>
    <w:multiLevelType w:val="multilevel"/>
    <w:tmpl w:val="00C6F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F728C8"/>
    <w:multiLevelType w:val="multilevel"/>
    <w:tmpl w:val="0DC81E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A649C6"/>
    <w:multiLevelType w:val="multilevel"/>
    <w:tmpl w:val="CA4C5A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A93E6F"/>
    <w:multiLevelType w:val="multilevel"/>
    <w:tmpl w:val="EB606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A13479"/>
    <w:multiLevelType w:val="multilevel"/>
    <w:tmpl w:val="ACE8F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3B1933"/>
    <w:multiLevelType w:val="multilevel"/>
    <w:tmpl w:val="516607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058C2"/>
    <w:multiLevelType w:val="multilevel"/>
    <w:tmpl w:val="A846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21262B"/>
    <w:multiLevelType w:val="multilevel"/>
    <w:tmpl w:val="E740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2E18AB"/>
    <w:multiLevelType w:val="multilevel"/>
    <w:tmpl w:val="FB0A4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1064533">
    <w:abstractNumId w:val="7"/>
  </w:num>
  <w:num w:numId="2" w16cid:durableId="979266809">
    <w:abstractNumId w:val="0"/>
  </w:num>
  <w:num w:numId="3" w16cid:durableId="1008601887">
    <w:abstractNumId w:val="14"/>
  </w:num>
  <w:num w:numId="4" w16cid:durableId="168522001">
    <w:abstractNumId w:val="9"/>
  </w:num>
  <w:num w:numId="5" w16cid:durableId="564872187">
    <w:abstractNumId w:val="15"/>
  </w:num>
  <w:num w:numId="6" w16cid:durableId="2089426531">
    <w:abstractNumId w:val="8"/>
  </w:num>
  <w:num w:numId="7" w16cid:durableId="683553760">
    <w:abstractNumId w:val="17"/>
  </w:num>
  <w:num w:numId="8" w16cid:durableId="1058934841">
    <w:abstractNumId w:val="13"/>
  </w:num>
  <w:num w:numId="9" w16cid:durableId="2052725188">
    <w:abstractNumId w:val="6"/>
  </w:num>
  <w:num w:numId="10" w16cid:durableId="365302289">
    <w:abstractNumId w:val="2"/>
  </w:num>
  <w:num w:numId="11" w16cid:durableId="855536295">
    <w:abstractNumId w:val="10"/>
  </w:num>
  <w:num w:numId="12" w16cid:durableId="357849744">
    <w:abstractNumId w:val="11"/>
  </w:num>
  <w:num w:numId="13" w16cid:durableId="1756049995">
    <w:abstractNumId w:val="19"/>
  </w:num>
  <w:num w:numId="14" w16cid:durableId="784351073">
    <w:abstractNumId w:val="4"/>
  </w:num>
  <w:num w:numId="15" w16cid:durableId="989484144">
    <w:abstractNumId w:val="5"/>
  </w:num>
  <w:num w:numId="16" w16cid:durableId="143788643">
    <w:abstractNumId w:val="3"/>
  </w:num>
  <w:num w:numId="17" w16cid:durableId="735006938">
    <w:abstractNumId w:val="12"/>
  </w:num>
  <w:num w:numId="18" w16cid:durableId="1637761962">
    <w:abstractNumId w:val="1"/>
  </w:num>
  <w:num w:numId="19" w16cid:durableId="1611009962">
    <w:abstractNumId w:val="16"/>
  </w:num>
  <w:num w:numId="20" w16cid:durableId="17977238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800"/>
    <w:rsid w:val="00044EF4"/>
    <w:rsid w:val="001A5886"/>
    <w:rsid w:val="00235113"/>
    <w:rsid w:val="0033165F"/>
    <w:rsid w:val="003B1599"/>
    <w:rsid w:val="00430197"/>
    <w:rsid w:val="00435AC0"/>
    <w:rsid w:val="00443F11"/>
    <w:rsid w:val="00487D4D"/>
    <w:rsid w:val="006B480F"/>
    <w:rsid w:val="00702420"/>
    <w:rsid w:val="00730CF8"/>
    <w:rsid w:val="00772800"/>
    <w:rsid w:val="00776ABD"/>
    <w:rsid w:val="007771FC"/>
    <w:rsid w:val="0078135B"/>
    <w:rsid w:val="007839D3"/>
    <w:rsid w:val="00816F52"/>
    <w:rsid w:val="00A31FF4"/>
    <w:rsid w:val="00A418FB"/>
    <w:rsid w:val="00A57FA6"/>
    <w:rsid w:val="00A706DB"/>
    <w:rsid w:val="00A76591"/>
    <w:rsid w:val="00B11A1F"/>
    <w:rsid w:val="00B33A4E"/>
    <w:rsid w:val="00B43EF8"/>
    <w:rsid w:val="00C30455"/>
    <w:rsid w:val="00C30A56"/>
    <w:rsid w:val="00C73FBE"/>
    <w:rsid w:val="00C86D90"/>
    <w:rsid w:val="00C95140"/>
    <w:rsid w:val="00CD616A"/>
    <w:rsid w:val="00DA015B"/>
    <w:rsid w:val="00DD63F2"/>
    <w:rsid w:val="00E87CF7"/>
    <w:rsid w:val="00EC1E61"/>
    <w:rsid w:val="00ED165A"/>
    <w:rsid w:val="00F85D54"/>
    <w:rsid w:val="00FE4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7AEC4"/>
  <w15:chartTrackingRefBased/>
  <w15:docId w15:val="{D528FD0E-F3FE-4B20-A066-61303D3B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28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28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28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28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28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28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28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28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28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8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28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28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28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28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28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28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28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2800"/>
    <w:rPr>
      <w:rFonts w:eastAsiaTheme="majorEastAsia" w:cstheme="majorBidi"/>
      <w:color w:val="272727" w:themeColor="text1" w:themeTint="D8"/>
    </w:rPr>
  </w:style>
  <w:style w:type="paragraph" w:styleId="Title">
    <w:name w:val="Title"/>
    <w:basedOn w:val="Normal"/>
    <w:next w:val="Normal"/>
    <w:link w:val="TitleChar"/>
    <w:uiPriority w:val="10"/>
    <w:qFormat/>
    <w:rsid w:val="007728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28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28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28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2800"/>
    <w:pPr>
      <w:spacing w:before="160"/>
      <w:jc w:val="center"/>
    </w:pPr>
    <w:rPr>
      <w:i/>
      <w:iCs/>
      <w:color w:val="404040" w:themeColor="text1" w:themeTint="BF"/>
    </w:rPr>
  </w:style>
  <w:style w:type="character" w:customStyle="1" w:styleId="QuoteChar">
    <w:name w:val="Quote Char"/>
    <w:basedOn w:val="DefaultParagraphFont"/>
    <w:link w:val="Quote"/>
    <w:uiPriority w:val="29"/>
    <w:rsid w:val="00772800"/>
    <w:rPr>
      <w:i/>
      <w:iCs/>
      <w:color w:val="404040" w:themeColor="text1" w:themeTint="BF"/>
    </w:rPr>
  </w:style>
  <w:style w:type="paragraph" w:styleId="ListParagraph">
    <w:name w:val="List Paragraph"/>
    <w:aliases w:val="WB Para,References,Bullets,List Paragraph (numbered (a)),List_Paragraph,Multilevel para_II,heading 4,Heading 2_sj,Bullit,Indent Paragraph,Lettre d'introduction,Dot pt,List Paragraph Char Char Char,Indicator Text,List Paragraph1,List1,EC"/>
    <w:basedOn w:val="Normal"/>
    <w:link w:val="ListParagraphChar"/>
    <w:uiPriority w:val="34"/>
    <w:qFormat/>
    <w:rsid w:val="00772800"/>
    <w:pPr>
      <w:ind w:left="720"/>
      <w:contextualSpacing/>
    </w:pPr>
  </w:style>
  <w:style w:type="character" w:styleId="IntenseEmphasis">
    <w:name w:val="Intense Emphasis"/>
    <w:basedOn w:val="DefaultParagraphFont"/>
    <w:uiPriority w:val="21"/>
    <w:qFormat/>
    <w:rsid w:val="00772800"/>
    <w:rPr>
      <w:i/>
      <w:iCs/>
      <w:color w:val="0F4761" w:themeColor="accent1" w:themeShade="BF"/>
    </w:rPr>
  </w:style>
  <w:style w:type="paragraph" w:styleId="IntenseQuote">
    <w:name w:val="Intense Quote"/>
    <w:basedOn w:val="Normal"/>
    <w:next w:val="Normal"/>
    <w:link w:val="IntenseQuoteChar"/>
    <w:uiPriority w:val="30"/>
    <w:qFormat/>
    <w:rsid w:val="007728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2800"/>
    <w:rPr>
      <w:i/>
      <w:iCs/>
      <w:color w:val="0F4761" w:themeColor="accent1" w:themeShade="BF"/>
    </w:rPr>
  </w:style>
  <w:style w:type="character" w:styleId="IntenseReference">
    <w:name w:val="Intense Reference"/>
    <w:basedOn w:val="DefaultParagraphFont"/>
    <w:uiPriority w:val="32"/>
    <w:qFormat/>
    <w:rsid w:val="00772800"/>
    <w:rPr>
      <w:b/>
      <w:bCs/>
      <w:smallCaps/>
      <w:color w:val="0F4761" w:themeColor="accent1" w:themeShade="BF"/>
      <w:spacing w:val="5"/>
    </w:rPr>
  </w:style>
  <w:style w:type="character" w:customStyle="1" w:styleId="ListParagraphChar">
    <w:name w:val="List Paragraph Char"/>
    <w:aliases w:val="WB Para Char,References Char,Bullets Char,List Paragraph (numbered (a)) Char,List_Paragraph Char,Multilevel para_II Char,heading 4 Char,Heading 2_sj Char,Bullit Char,Indent Paragraph Char,Lettre d'introduction Char,Dot pt Char"/>
    <w:link w:val="ListParagraph"/>
    <w:uiPriority w:val="34"/>
    <w:qFormat/>
    <w:locked/>
    <w:rsid w:val="00B43EF8"/>
  </w:style>
  <w:style w:type="table" w:styleId="TableGrid">
    <w:name w:val="Table Grid"/>
    <w:basedOn w:val="TableNormal"/>
    <w:uiPriority w:val="39"/>
    <w:rsid w:val="00781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8135B"/>
    <w:rPr>
      <w:sz w:val="16"/>
      <w:szCs w:val="16"/>
    </w:rPr>
  </w:style>
  <w:style w:type="paragraph" w:styleId="CommentText">
    <w:name w:val="annotation text"/>
    <w:basedOn w:val="Normal"/>
    <w:link w:val="CommentTextChar"/>
    <w:uiPriority w:val="99"/>
    <w:unhideWhenUsed/>
    <w:rsid w:val="0078135B"/>
    <w:pPr>
      <w:spacing w:line="240" w:lineRule="auto"/>
    </w:pPr>
    <w:rPr>
      <w:sz w:val="20"/>
      <w:szCs w:val="20"/>
    </w:rPr>
  </w:style>
  <w:style w:type="character" w:customStyle="1" w:styleId="CommentTextChar">
    <w:name w:val="Comment Text Char"/>
    <w:basedOn w:val="DefaultParagraphFont"/>
    <w:link w:val="CommentText"/>
    <w:uiPriority w:val="99"/>
    <w:rsid w:val="0078135B"/>
    <w:rPr>
      <w:sz w:val="20"/>
      <w:szCs w:val="20"/>
    </w:rPr>
  </w:style>
  <w:style w:type="character" w:styleId="Hyperlink">
    <w:name w:val="Hyperlink"/>
    <w:basedOn w:val="DefaultParagraphFont"/>
    <w:uiPriority w:val="99"/>
    <w:unhideWhenUsed/>
    <w:rsid w:val="00EC1E61"/>
    <w:rPr>
      <w:color w:val="467886" w:themeColor="hyperlink"/>
      <w:u w:val="single"/>
    </w:rPr>
  </w:style>
  <w:style w:type="character" w:styleId="UnresolvedMention">
    <w:name w:val="Unresolved Mention"/>
    <w:basedOn w:val="DefaultParagraphFont"/>
    <w:uiPriority w:val="99"/>
    <w:semiHidden/>
    <w:unhideWhenUsed/>
    <w:rsid w:val="00EC1E61"/>
    <w:rPr>
      <w:color w:val="605E5C"/>
      <w:shd w:val="clear" w:color="auto" w:fill="E1DFDD"/>
    </w:rPr>
  </w:style>
  <w:style w:type="paragraph" w:styleId="NormalWeb">
    <w:name w:val="Normal (Web)"/>
    <w:basedOn w:val="Normal"/>
    <w:uiPriority w:val="99"/>
    <w:semiHidden/>
    <w:unhideWhenUsed/>
    <w:rsid w:val="00A57FA6"/>
    <w:rPr>
      <w:rFonts w:ascii="Times New Roman" w:hAnsi="Times New Roman" w:cs="Times New Roman"/>
      <w:sz w:val="24"/>
      <w:szCs w:val="24"/>
    </w:rPr>
  </w:style>
  <w:style w:type="paragraph" w:styleId="Header">
    <w:name w:val="header"/>
    <w:basedOn w:val="Normal"/>
    <w:link w:val="HeaderChar"/>
    <w:uiPriority w:val="99"/>
    <w:unhideWhenUsed/>
    <w:rsid w:val="00CD616A"/>
    <w:pPr>
      <w:tabs>
        <w:tab w:val="center" w:pos="4844"/>
        <w:tab w:val="right" w:pos="9689"/>
      </w:tabs>
      <w:spacing w:after="0" w:line="240" w:lineRule="auto"/>
    </w:pPr>
  </w:style>
  <w:style w:type="character" w:customStyle="1" w:styleId="HeaderChar">
    <w:name w:val="Header Char"/>
    <w:basedOn w:val="DefaultParagraphFont"/>
    <w:link w:val="Header"/>
    <w:uiPriority w:val="99"/>
    <w:rsid w:val="00CD616A"/>
  </w:style>
  <w:style w:type="paragraph" w:styleId="Footer">
    <w:name w:val="footer"/>
    <w:basedOn w:val="Normal"/>
    <w:link w:val="FooterChar"/>
    <w:uiPriority w:val="99"/>
    <w:unhideWhenUsed/>
    <w:rsid w:val="00CD616A"/>
    <w:pPr>
      <w:tabs>
        <w:tab w:val="center" w:pos="4844"/>
        <w:tab w:val="right" w:pos="9689"/>
      </w:tabs>
      <w:spacing w:after="0" w:line="240" w:lineRule="auto"/>
    </w:pPr>
  </w:style>
  <w:style w:type="character" w:customStyle="1" w:styleId="FooterChar">
    <w:name w:val="Footer Char"/>
    <w:basedOn w:val="DefaultParagraphFont"/>
    <w:link w:val="Footer"/>
    <w:uiPriority w:val="99"/>
    <w:rsid w:val="00CD6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226932">
      <w:bodyDiv w:val="1"/>
      <w:marLeft w:val="0"/>
      <w:marRight w:val="0"/>
      <w:marTop w:val="0"/>
      <w:marBottom w:val="0"/>
      <w:divBdr>
        <w:top w:val="none" w:sz="0" w:space="0" w:color="auto"/>
        <w:left w:val="none" w:sz="0" w:space="0" w:color="auto"/>
        <w:bottom w:val="none" w:sz="0" w:space="0" w:color="auto"/>
        <w:right w:val="none" w:sz="0" w:space="0" w:color="auto"/>
      </w:divBdr>
    </w:div>
    <w:div w:id="135494827">
      <w:bodyDiv w:val="1"/>
      <w:marLeft w:val="0"/>
      <w:marRight w:val="0"/>
      <w:marTop w:val="0"/>
      <w:marBottom w:val="0"/>
      <w:divBdr>
        <w:top w:val="none" w:sz="0" w:space="0" w:color="auto"/>
        <w:left w:val="none" w:sz="0" w:space="0" w:color="auto"/>
        <w:bottom w:val="none" w:sz="0" w:space="0" w:color="auto"/>
        <w:right w:val="none" w:sz="0" w:space="0" w:color="auto"/>
      </w:divBdr>
    </w:div>
    <w:div w:id="394816391">
      <w:bodyDiv w:val="1"/>
      <w:marLeft w:val="0"/>
      <w:marRight w:val="0"/>
      <w:marTop w:val="0"/>
      <w:marBottom w:val="0"/>
      <w:divBdr>
        <w:top w:val="none" w:sz="0" w:space="0" w:color="auto"/>
        <w:left w:val="none" w:sz="0" w:space="0" w:color="auto"/>
        <w:bottom w:val="none" w:sz="0" w:space="0" w:color="auto"/>
        <w:right w:val="none" w:sz="0" w:space="0" w:color="auto"/>
      </w:divBdr>
    </w:div>
    <w:div w:id="730612321">
      <w:bodyDiv w:val="1"/>
      <w:marLeft w:val="0"/>
      <w:marRight w:val="0"/>
      <w:marTop w:val="0"/>
      <w:marBottom w:val="0"/>
      <w:divBdr>
        <w:top w:val="none" w:sz="0" w:space="0" w:color="auto"/>
        <w:left w:val="none" w:sz="0" w:space="0" w:color="auto"/>
        <w:bottom w:val="none" w:sz="0" w:space="0" w:color="auto"/>
        <w:right w:val="none" w:sz="0" w:space="0" w:color="auto"/>
      </w:divBdr>
      <w:divsChild>
        <w:div w:id="548541776">
          <w:marLeft w:val="0"/>
          <w:marRight w:val="0"/>
          <w:marTop w:val="0"/>
          <w:marBottom w:val="0"/>
          <w:divBdr>
            <w:top w:val="none" w:sz="0" w:space="0" w:color="auto"/>
            <w:left w:val="none" w:sz="0" w:space="0" w:color="auto"/>
            <w:bottom w:val="none" w:sz="0" w:space="0" w:color="auto"/>
            <w:right w:val="none" w:sz="0" w:space="0" w:color="auto"/>
          </w:divBdr>
        </w:div>
        <w:div w:id="93016744">
          <w:marLeft w:val="0"/>
          <w:marRight w:val="0"/>
          <w:marTop w:val="0"/>
          <w:marBottom w:val="0"/>
          <w:divBdr>
            <w:top w:val="none" w:sz="0" w:space="0" w:color="auto"/>
            <w:left w:val="none" w:sz="0" w:space="0" w:color="auto"/>
            <w:bottom w:val="none" w:sz="0" w:space="0" w:color="auto"/>
            <w:right w:val="none" w:sz="0" w:space="0" w:color="auto"/>
          </w:divBdr>
        </w:div>
      </w:divsChild>
    </w:div>
    <w:div w:id="841316856">
      <w:bodyDiv w:val="1"/>
      <w:marLeft w:val="0"/>
      <w:marRight w:val="0"/>
      <w:marTop w:val="0"/>
      <w:marBottom w:val="0"/>
      <w:divBdr>
        <w:top w:val="none" w:sz="0" w:space="0" w:color="auto"/>
        <w:left w:val="none" w:sz="0" w:space="0" w:color="auto"/>
        <w:bottom w:val="none" w:sz="0" w:space="0" w:color="auto"/>
        <w:right w:val="none" w:sz="0" w:space="0" w:color="auto"/>
      </w:divBdr>
    </w:div>
    <w:div w:id="1262832428">
      <w:bodyDiv w:val="1"/>
      <w:marLeft w:val="0"/>
      <w:marRight w:val="0"/>
      <w:marTop w:val="0"/>
      <w:marBottom w:val="0"/>
      <w:divBdr>
        <w:top w:val="none" w:sz="0" w:space="0" w:color="auto"/>
        <w:left w:val="none" w:sz="0" w:space="0" w:color="auto"/>
        <w:bottom w:val="none" w:sz="0" w:space="0" w:color="auto"/>
        <w:right w:val="none" w:sz="0" w:space="0" w:color="auto"/>
      </w:divBdr>
    </w:div>
    <w:div w:id="1283339604">
      <w:bodyDiv w:val="1"/>
      <w:marLeft w:val="0"/>
      <w:marRight w:val="0"/>
      <w:marTop w:val="0"/>
      <w:marBottom w:val="0"/>
      <w:divBdr>
        <w:top w:val="none" w:sz="0" w:space="0" w:color="auto"/>
        <w:left w:val="none" w:sz="0" w:space="0" w:color="auto"/>
        <w:bottom w:val="none" w:sz="0" w:space="0" w:color="auto"/>
        <w:right w:val="none" w:sz="0" w:space="0" w:color="auto"/>
      </w:divBdr>
    </w:div>
    <w:div w:id="1375735028">
      <w:bodyDiv w:val="1"/>
      <w:marLeft w:val="0"/>
      <w:marRight w:val="0"/>
      <w:marTop w:val="0"/>
      <w:marBottom w:val="0"/>
      <w:divBdr>
        <w:top w:val="none" w:sz="0" w:space="0" w:color="auto"/>
        <w:left w:val="none" w:sz="0" w:space="0" w:color="auto"/>
        <w:bottom w:val="none" w:sz="0" w:space="0" w:color="auto"/>
        <w:right w:val="none" w:sz="0" w:space="0" w:color="auto"/>
      </w:divBdr>
    </w:div>
    <w:div w:id="1702514115">
      <w:bodyDiv w:val="1"/>
      <w:marLeft w:val="0"/>
      <w:marRight w:val="0"/>
      <w:marTop w:val="0"/>
      <w:marBottom w:val="0"/>
      <w:divBdr>
        <w:top w:val="none" w:sz="0" w:space="0" w:color="auto"/>
        <w:left w:val="none" w:sz="0" w:space="0" w:color="auto"/>
        <w:bottom w:val="none" w:sz="0" w:space="0" w:color="auto"/>
        <w:right w:val="none" w:sz="0" w:space="0" w:color="auto"/>
      </w:divBdr>
    </w:div>
    <w:div w:id="1729381103">
      <w:bodyDiv w:val="1"/>
      <w:marLeft w:val="0"/>
      <w:marRight w:val="0"/>
      <w:marTop w:val="0"/>
      <w:marBottom w:val="0"/>
      <w:divBdr>
        <w:top w:val="none" w:sz="0" w:space="0" w:color="auto"/>
        <w:left w:val="none" w:sz="0" w:space="0" w:color="auto"/>
        <w:bottom w:val="none" w:sz="0" w:space="0" w:color="auto"/>
        <w:right w:val="none" w:sz="0" w:space="0" w:color="auto"/>
      </w:divBdr>
      <w:divsChild>
        <w:div w:id="63845709">
          <w:marLeft w:val="0"/>
          <w:marRight w:val="0"/>
          <w:marTop w:val="0"/>
          <w:marBottom w:val="0"/>
          <w:divBdr>
            <w:top w:val="none" w:sz="0" w:space="0" w:color="auto"/>
            <w:left w:val="none" w:sz="0" w:space="0" w:color="auto"/>
            <w:bottom w:val="none" w:sz="0" w:space="0" w:color="auto"/>
            <w:right w:val="none" w:sz="0" w:space="0" w:color="auto"/>
          </w:divBdr>
        </w:div>
        <w:div w:id="1364090354">
          <w:marLeft w:val="0"/>
          <w:marRight w:val="0"/>
          <w:marTop w:val="0"/>
          <w:marBottom w:val="0"/>
          <w:divBdr>
            <w:top w:val="none" w:sz="0" w:space="0" w:color="auto"/>
            <w:left w:val="none" w:sz="0" w:space="0" w:color="auto"/>
            <w:bottom w:val="none" w:sz="0" w:space="0" w:color="auto"/>
            <w:right w:val="none" w:sz="0" w:space="0" w:color="auto"/>
          </w:divBdr>
        </w:div>
      </w:divsChild>
    </w:div>
    <w:div w:id="1776901667">
      <w:bodyDiv w:val="1"/>
      <w:marLeft w:val="0"/>
      <w:marRight w:val="0"/>
      <w:marTop w:val="0"/>
      <w:marBottom w:val="0"/>
      <w:divBdr>
        <w:top w:val="none" w:sz="0" w:space="0" w:color="auto"/>
        <w:left w:val="none" w:sz="0" w:space="0" w:color="auto"/>
        <w:bottom w:val="none" w:sz="0" w:space="0" w:color="auto"/>
        <w:right w:val="none" w:sz="0" w:space="0" w:color="auto"/>
      </w:divBdr>
    </w:div>
    <w:div w:id="198908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C8CA9-B1E0-4BDE-A7CB-B3975D80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Tinatin Uplisashvili</dc:creator>
  <cp:keywords/>
  <dc:description/>
  <cp:lastModifiedBy>Tinatin Uplisashvili</cp:lastModifiedBy>
  <cp:revision>20</cp:revision>
  <dcterms:created xsi:type="dcterms:W3CDTF">2025-01-09T15:09:00Z</dcterms:created>
  <dcterms:modified xsi:type="dcterms:W3CDTF">2025-01-15T07:58:00Z</dcterms:modified>
</cp:coreProperties>
</file>